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6" w:type="dxa"/>
        <w:tblInd w:w="108" w:type="dxa"/>
        <w:tblLook w:val="04A0" w:firstRow="1" w:lastRow="0" w:firstColumn="1" w:lastColumn="0" w:noHBand="0" w:noVBand="1"/>
      </w:tblPr>
      <w:tblGrid>
        <w:gridCol w:w="9396"/>
      </w:tblGrid>
      <w:tr w:rsidR="00C403F1" w:rsidTr="00C403F1">
        <w:trPr>
          <w:trHeight w:val="315"/>
        </w:trPr>
        <w:tc>
          <w:tcPr>
            <w:tcW w:w="9396" w:type="dxa"/>
            <w:noWrap/>
            <w:vAlign w:val="bottom"/>
          </w:tcPr>
          <w:p w:rsidR="00C403F1" w:rsidRDefault="00C403F1">
            <w:pPr>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9180"/>
            </w:tblGrid>
            <w:tr w:rsidR="00C403F1">
              <w:trPr>
                <w:trHeight w:val="315"/>
                <w:tblCellSpacing w:w="0" w:type="dxa"/>
              </w:trPr>
              <w:tc>
                <w:tcPr>
                  <w:tcW w:w="9380" w:type="dxa"/>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List of details/ documents required for grant of approval under Regulation 37 </w:t>
                  </w:r>
                </w:p>
              </w:tc>
            </w:tr>
          </w:tbl>
          <w:p w:rsidR="00C403F1" w:rsidRDefault="00C403F1"/>
        </w:tc>
      </w:tr>
      <w:tr w:rsidR="00C403F1" w:rsidTr="00C403F1">
        <w:trPr>
          <w:trHeight w:val="315"/>
        </w:trPr>
        <w:tc>
          <w:tcPr>
            <w:tcW w:w="9396" w:type="dxa"/>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of the SEBI (LODR) Regulations, 2015</w:t>
            </w:r>
          </w:p>
        </w:tc>
      </w:tr>
      <w:tr w:rsidR="00C403F1" w:rsidTr="00C403F1">
        <w:trPr>
          <w:trHeight w:val="315"/>
        </w:trPr>
        <w:tc>
          <w:tcPr>
            <w:tcW w:w="9396" w:type="dxa"/>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(Reduction of Capital under Section 66 of Companies Act, 2013)</w:t>
            </w:r>
          </w:p>
        </w:tc>
      </w:tr>
    </w:tbl>
    <w:p w:rsidR="00C403F1" w:rsidRDefault="00C403F1" w:rsidP="00C403F1"/>
    <w:tbl>
      <w:tblPr>
        <w:tblW w:w="9827" w:type="dxa"/>
        <w:tblInd w:w="103" w:type="dxa"/>
        <w:tblLook w:val="04A0" w:firstRow="1" w:lastRow="0" w:firstColumn="1" w:lastColumn="0" w:noHBand="0" w:noVBand="1"/>
      </w:tblPr>
      <w:tblGrid>
        <w:gridCol w:w="570"/>
        <w:gridCol w:w="9257"/>
      </w:tblGrid>
      <w:tr w:rsidR="00C403F1" w:rsidTr="00C403F1">
        <w:trPr>
          <w:trHeight w:val="630"/>
        </w:trPr>
        <w:tc>
          <w:tcPr>
            <w:tcW w:w="570"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Sr. No.</w:t>
            </w:r>
          </w:p>
        </w:tc>
        <w:tc>
          <w:tcPr>
            <w:tcW w:w="9257" w:type="dxa"/>
            <w:tcBorders>
              <w:top w:val="single" w:sz="4" w:space="0" w:color="auto"/>
              <w:left w:val="nil"/>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List of Documents/ details to be submitted</w:t>
            </w:r>
          </w:p>
        </w:tc>
      </w:tr>
      <w:tr w:rsidR="00C403F1" w:rsidTr="00C403F1">
        <w:trPr>
          <w:trHeight w:val="630"/>
        </w:trPr>
        <w:tc>
          <w:tcPr>
            <w:tcW w:w="570"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p>
        </w:tc>
        <w:tc>
          <w:tcPr>
            <w:tcW w:w="9257" w:type="dxa"/>
            <w:tcBorders>
              <w:top w:val="single" w:sz="4" w:space="0" w:color="auto"/>
              <w:left w:val="nil"/>
              <w:bottom w:val="single" w:sz="4" w:space="0" w:color="auto"/>
              <w:right w:val="single" w:sz="4" w:space="0" w:color="auto"/>
            </w:tcBorders>
            <w:hideMark/>
          </w:tcPr>
          <w:p w:rsidR="00C403F1" w:rsidRDefault="00C403F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Draft Scheme of arrangement/ amalgamation/ merger/ reconstruction/ reduction of capital, </w:t>
            </w:r>
            <w:proofErr w:type="spellStart"/>
            <w:r>
              <w:rPr>
                <w:rFonts w:ascii="Times New Roman" w:eastAsia="Times New Roman" w:hAnsi="Times New Roman" w:cs="Times New Roman"/>
                <w:color w:val="000000"/>
                <w:sz w:val="24"/>
                <w:szCs w:val="24"/>
              </w:rPr>
              <w:t>etc</w:t>
            </w:r>
            <w:proofErr w:type="spellEnd"/>
          </w:p>
        </w:tc>
      </w:tr>
      <w:tr w:rsidR="00C403F1" w:rsidTr="00C403F1">
        <w:trPr>
          <w:trHeight w:val="630"/>
        </w:trPr>
        <w:tc>
          <w:tcPr>
            <w:tcW w:w="570"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tc>
        <w:tc>
          <w:tcPr>
            <w:tcW w:w="9257" w:type="dxa"/>
            <w:tcBorders>
              <w:top w:val="single" w:sz="4" w:space="0" w:color="auto"/>
              <w:left w:val="nil"/>
              <w:bottom w:val="single" w:sz="4" w:space="0" w:color="auto"/>
              <w:right w:val="single" w:sz="4" w:space="0" w:color="auto"/>
            </w:tcBorders>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Valuation Report as per SEBI Circular CIR/CFD/CMD/16/2015 dated November 30, 2015</w:t>
            </w:r>
          </w:p>
        </w:tc>
      </w:tr>
      <w:tr w:rsidR="00C403F1" w:rsidTr="00C403F1">
        <w:trPr>
          <w:trHeight w:val="630"/>
        </w:trPr>
        <w:tc>
          <w:tcPr>
            <w:tcW w:w="570"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p>
        </w:tc>
        <w:tc>
          <w:tcPr>
            <w:tcW w:w="9257" w:type="dxa"/>
            <w:tcBorders>
              <w:top w:val="single" w:sz="4" w:space="0" w:color="auto"/>
              <w:left w:val="nil"/>
              <w:bottom w:val="single" w:sz="4" w:space="0" w:color="auto"/>
              <w:right w:val="single" w:sz="4" w:space="0" w:color="auto"/>
            </w:tcBorders>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Report from the Audit Committee recommending the Draft Scheme, taking into consideration, inter alia, the Valuation Report.</w:t>
            </w:r>
          </w:p>
        </w:tc>
      </w:tr>
      <w:tr w:rsidR="00C403F1" w:rsidTr="00C403F1">
        <w:trPr>
          <w:trHeight w:val="630"/>
        </w:trPr>
        <w:tc>
          <w:tcPr>
            <w:tcW w:w="570"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w:t>
            </w:r>
          </w:p>
        </w:tc>
        <w:tc>
          <w:tcPr>
            <w:tcW w:w="9257" w:type="dxa"/>
            <w:tcBorders>
              <w:top w:val="single" w:sz="4" w:space="0" w:color="auto"/>
              <w:left w:val="nil"/>
              <w:bottom w:val="single" w:sz="4" w:space="0" w:color="auto"/>
              <w:right w:val="single" w:sz="4" w:space="0" w:color="auto"/>
            </w:tcBorders>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Fairness opinion by merchant banker on valuation of assets / shares done by the </w:t>
            </w:r>
            <w:proofErr w:type="spellStart"/>
            <w:r>
              <w:rPr>
                <w:rFonts w:ascii="Times New Roman" w:eastAsia="Times New Roman" w:hAnsi="Times New Roman" w:cs="Times New Roman"/>
                <w:sz w:val="24"/>
                <w:szCs w:val="24"/>
              </w:rPr>
              <w:t>valuer</w:t>
            </w:r>
            <w:proofErr w:type="spellEnd"/>
            <w:r>
              <w:rPr>
                <w:rFonts w:ascii="Times New Roman" w:eastAsia="Times New Roman" w:hAnsi="Times New Roman" w:cs="Times New Roman"/>
                <w:sz w:val="24"/>
                <w:szCs w:val="24"/>
              </w:rPr>
              <w:t xml:space="preserve"> for the listed entity and unlisted company</w:t>
            </w:r>
          </w:p>
        </w:tc>
      </w:tr>
      <w:tr w:rsidR="00C403F1" w:rsidTr="00C403F1">
        <w:trPr>
          <w:trHeight w:val="945"/>
        </w:trPr>
        <w:tc>
          <w:tcPr>
            <w:tcW w:w="570"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5</w:t>
            </w:r>
          </w:p>
        </w:tc>
        <w:tc>
          <w:tcPr>
            <w:tcW w:w="9257" w:type="dxa"/>
            <w:tcBorders>
              <w:top w:val="single" w:sz="4" w:space="0" w:color="auto"/>
              <w:left w:val="nil"/>
              <w:bottom w:val="single" w:sz="4" w:space="0" w:color="auto"/>
              <w:right w:val="single" w:sz="4" w:space="0" w:color="auto"/>
            </w:tcBorders>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Shareholding pattern in accordance with Regulation 31 (1) of the SEBI (LODR) Regulations, 2015 - for pre and post scheme of arrangement of the Companies.</w:t>
            </w:r>
          </w:p>
        </w:tc>
      </w:tr>
      <w:tr w:rsidR="00C403F1" w:rsidTr="00C403F1">
        <w:trPr>
          <w:trHeight w:val="630"/>
        </w:trPr>
        <w:tc>
          <w:tcPr>
            <w:tcW w:w="570"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6</w:t>
            </w:r>
          </w:p>
        </w:tc>
        <w:tc>
          <w:tcPr>
            <w:tcW w:w="9257" w:type="dxa"/>
            <w:tcBorders>
              <w:top w:val="single" w:sz="4" w:space="0" w:color="auto"/>
              <w:left w:val="nil"/>
              <w:bottom w:val="single" w:sz="4" w:space="0" w:color="auto"/>
              <w:right w:val="single" w:sz="4" w:space="0" w:color="auto"/>
            </w:tcBorders>
            <w:hideMark/>
          </w:tcPr>
          <w:p w:rsidR="00C403F1" w:rsidRDefault="00C403F1">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Audited financials of last 3 years (financials not being more than 6 months old) of unlisted company as per Annexure I</w:t>
            </w:r>
          </w:p>
        </w:tc>
      </w:tr>
      <w:tr w:rsidR="00C403F1" w:rsidTr="00C403F1">
        <w:trPr>
          <w:trHeight w:val="630"/>
        </w:trPr>
        <w:tc>
          <w:tcPr>
            <w:tcW w:w="570"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7</w:t>
            </w:r>
          </w:p>
        </w:tc>
        <w:tc>
          <w:tcPr>
            <w:tcW w:w="9257" w:type="dxa"/>
            <w:tcBorders>
              <w:top w:val="single" w:sz="4" w:space="0" w:color="auto"/>
              <w:left w:val="nil"/>
              <w:bottom w:val="single" w:sz="4" w:space="0" w:color="auto"/>
              <w:right w:val="single" w:sz="4" w:space="0" w:color="auto"/>
            </w:tcBorders>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Auditor's Certificate as per Para 1(A)(5) of Annexure-I of SEBI Circular CIR/CFD/CMD/16/2015 dated November 30, 2015</w:t>
            </w:r>
          </w:p>
        </w:tc>
      </w:tr>
      <w:tr w:rsidR="00C403F1" w:rsidTr="00C403F1">
        <w:trPr>
          <w:trHeight w:val="630"/>
        </w:trPr>
        <w:tc>
          <w:tcPr>
            <w:tcW w:w="570"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8</w:t>
            </w:r>
          </w:p>
        </w:tc>
        <w:tc>
          <w:tcPr>
            <w:tcW w:w="9257" w:type="dxa"/>
            <w:tcBorders>
              <w:top w:val="single" w:sz="4" w:space="0" w:color="auto"/>
              <w:left w:val="nil"/>
              <w:bottom w:val="single" w:sz="4" w:space="0" w:color="auto"/>
              <w:right w:val="single" w:sz="4" w:space="0" w:color="auto"/>
            </w:tcBorders>
            <w:noWrap/>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Corporate Governance Report as per Regulation 27 (2) (a) of the SEBI (LODR) Regulations, 2015</w:t>
            </w:r>
          </w:p>
        </w:tc>
      </w:tr>
      <w:tr w:rsidR="00C403F1" w:rsidTr="00C403F1">
        <w:trPr>
          <w:trHeight w:val="945"/>
        </w:trPr>
        <w:tc>
          <w:tcPr>
            <w:tcW w:w="570"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p>
        </w:tc>
        <w:tc>
          <w:tcPr>
            <w:tcW w:w="9257" w:type="dxa"/>
            <w:tcBorders>
              <w:top w:val="single" w:sz="4" w:space="0" w:color="auto"/>
              <w:left w:val="nil"/>
              <w:bottom w:val="single" w:sz="4" w:space="0" w:color="auto"/>
              <w:right w:val="single" w:sz="4" w:space="0" w:color="auto"/>
            </w:tcBorders>
            <w:noWrap/>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Compliance report with the requirements specified in SEBI Circular CIR/CFD/CMD/16/2015 dated November 30, 2015 as per Annexure II</w:t>
            </w:r>
          </w:p>
        </w:tc>
      </w:tr>
      <w:tr w:rsidR="00C403F1" w:rsidTr="00C403F1">
        <w:trPr>
          <w:trHeight w:val="2835"/>
        </w:trPr>
        <w:tc>
          <w:tcPr>
            <w:tcW w:w="570"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c>
          <w:tcPr>
            <w:tcW w:w="9257" w:type="dxa"/>
            <w:tcBorders>
              <w:top w:val="single" w:sz="4" w:space="0" w:color="auto"/>
              <w:left w:val="nil"/>
              <w:bottom w:val="single" w:sz="4" w:space="0" w:color="auto"/>
              <w:right w:val="single" w:sz="4" w:space="0" w:color="auto"/>
            </w:tcBorders>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Document required to submit wherein approval of shareholders to Scheme through postal ballot and e-voting (Para 1(A</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9)(a) of Annexure-I of SEBI Circular CIR/CFD/CMD/16/2015 dated November 30, 2015) is not applicable:</w:t>
            </w:r>
            <w:r>
              <w:rPr>
                <w:rFonts w:ascii="Times New Roman" w:eastAsia="Times New Roman" w:hAnsi="Times New Roman" w:cs="Times New Roman"/>
                <w:sz w:val="24"/>
                <w:szCs w:val="24"/>
              </w:rPr>
              <w:br/>
              <w:t xml:space="preserve">a) An undertaking certified by the auditor clearly stating the reasons for </w:t>
            </w:r>
            <w:proofErr w:type="spellStart"/>
            <w:r>
              <w:rPr>
                <w:rFonts w:ascii="Times New Roman" w:eastAsia="Times New Roman" w:hAnsi="Times New Roman" w:cs="Times New Roman"/>
                <w:sz w:val="24"/>
                <w:szCs w:val="24"/>
              </w:rPr>
              <w:t>non applicability</w:t>
            </w:r>
            <w:proofErr w:type="spellEnd"/>
            <w:r>
              <w:rPr>
                <w:rFonts w:ascii="Times New Roman" w:eastAsia="Times New Roman" w:hAnsi="Times New Roman" w:cs="Times New Roman"/>
                <w:sz w:val="24"/>
                <w:szCs w:val="24"/>
              </w:rPr>
              <w:t xml:space="preserve"> of Para 9 (a).</w:t>
            </w:r>
            <w:r>
              <w:rPr>
                <w:rFonts w:ascii="Times New Roman" w:eastAsia="Times New Roman" w:hAnsi="Times New Roman" w:cs="Times New Roman"/>
                <w:sz w:val="24"/>
                <w:szCs w:val="24"/>
              </w:rPr>
              <w:br/>
              <w:t xml:space="preserve">b) Certified copy of Board of Director’s resolution approving the aforesaid auditor certificate. </w:t>
            </w:r>
          </w:p>
        </w:tc>
      </w:tr>
      <w:tr w:rsidR="00C403F1" w:rsidTr="00C403F1">
        <w:trPr>
          <w:trHeight w:val="1890"/>
        </w:trPr>
        <w:tc>
          <w:tcPr>
            <w:tcW w:w="570"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11</w:t>
            </w:r>
          </w:p>
        </w:tc>
        <w:tc>
          <w:tcPr>
            <w:tcW w:w="9257" w:type="dxa"/>
            <w:tcBorders>
              <w:top w:val="single" w:sz="4" w:space="0" w:color="auto"/>
              <w:left w:val="nil"/>
              <w:bottom w:val="single" w:sz="4" w:space="0" w:color="auto"/>
              <w:right w:val="single" w:sz="4" w:space="0" w:color="auto"/>
            </w:tcBorders>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Certificate from Statutory Auditors / Practicing Chartered Accountants / Practicing Company Secretary for </w:t>
            </w:r>
            <w:proofErr w:type="spellStart"/>
            <w:r>
              <w:rPr>
                <w:rFonts w:ascii="Times New Roman" w:eastAsia="Times New Roman" w:hAnsi="Times New Roman" w:cs="Times New Roman"/>
                <w:sz w:val="24"/>
                <w:szCs w:val="24"/>
              </w:rPr>
              <w:t>Networth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Networth</w:t>
            </w:r>
            <w:proofErr w:type="spellEnd"/>
            <w:r>
              <w:rPr>
                <w:rFonts w:ascii="Times New Roman" w:eastAsia="Times New Roman" w:hAnsi="Times New Roman" w:cs="Times New Roman"/>
                <w:sz w:val="24"/>
                <w:szCs w:val="24"/>
              </w:rPr>
              <w:t xml:space="preserve"> = Equity Share Capital + Free Reserves** - Miscellaneous Expenditure written off, along with the detailed working) of the </w:t>
            </w:r>
            <w:proofErr w:type="gramStart"/>
            <w:r>
              <w:rPr>
                <w:rFonts w:ascii="Times New Roman" w:eastAsia="Times New Roman" w:hAnsi="Times New Roman" w:cs="Times New Roman"/>
                <w:sz w:val="24"/>
                <w:szCs w:val="24"/>
              </w:rPr>
              <w:t>Company  pre</w:t>
            </w:r>
            <w:proofErr w:type="gramEnd"/>
            <w:r>
              <w:rPr>
                <w:rFonts w:ascii="Times New Roman" w:eastAsia="Times New Roman" w:hAnsi="Times New Roman" w:cs="Times New Roman"/>
                <w:sz w:val="24"/>
                <w:szCs w:val="24"/>
              </w:rPr>
              <w:t xml:space="preserve"> and post Scheme under Sections 101, 391 and 394 of the Companies Act, 1956.</w:t>
            </w:r>
          </w:p>
        </w:tc>
      </w:tr>
      <w:tr w:rsidR="00C403F1" w:rsidTr="00C403F1">
        <w:trPr>
          <w:trHeight w:val="315"/>
        </w:trPr>
        <w:tc>
          <w:tcPr>
            <w:tcW w:w="570"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c>
          <w:tcPr>
            <w:tcW w:w="9257" w:type="dxa"/>
            <w:tcBorders>
              <w:top w:val="single" w:sz="4" w:space="0" w:color="auto"/>
              <w:left w:val="nil"/>
              <w:bottom w:val="single" w:sz="4" w:space="0" w:color="auto"/>
              <w:right w:val="single" w:sz="4" w:space="0" w:color="auto"/>
            </w:tcBorders>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Board resolution approving the scheme of arrangement.</w:t>
            </w:r>
          </w:p>
        </w:tc>
      </w:tr>
      <w:tr w:rsidR="00C403F1" w:rsidTr="00C403F1">
        <w:trPr>
          <w:trHeight w:val="630"/>
        </w:trPr>
        <w:tc>
          <w:tcPr>
            <w:tcW w:w="570"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13</w:t>
            </w:r>
          </w:p>
        </w:tc>
        <w:tc>
          <w:tcPr>
            <w:tcW w:w="9257" w:type="dxa"/>
            <w:tcBorders>
              <w:top w:val="single" w:sz="4" w:space="0" w:color="auto"/>
              <w:left w:val="nil"/>
              <w:bottom w:val="single" w:sz="4" w:space="0" w:color="auto"/>
              <w:right w:val="single" w:sz="4" w:space="0" w:color="auto"/>
            </w:tcBorders>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Certified true copy of the resolution passed at the meeting of the shareholders approving the reduction.</w:t>
            </w:r>
          </w:p>
        </w:tc>
      </w:tr>
      <w:tr w:rsidR="00C403F1" w:rsidTr="00C403F1">
        <w:trPr>
          <w:trHeight w:val="315"/>
        </w:trPr>
        <w:tc>
          <w:tcPr>
            <w:tcW w:w="570"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p>
        </w:tc>
        <w:tc>
          <w:tcPr>
            <w:tcW w:w="9257" w:type="dxa"/>
            <w:tcBorders>
              <w:top w:val="single" w:sz="4" w:space="0" w:color="auto"/>
              <w:left w:val="nil"/>
              <w:bottom w:val="single" w:sz="4" w:space="0" w:color="auto"/>
              <w:right w:val="single" w:sz="4" w:space="0" w:color="auto"/>
            </w:tcBorders>
            <w:noWrap/>
            <w:vAlign w:val="bottom"/>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Confirmation from the Company regarding the following:</w:t>
            </w:r>
          </w:p>
        </w:tc>
      </w:tr>
      <w:tr w:rsidR="00C403F1" w:rsidTr="00C403F1">
        <w:trPr>
          <w:trHeight w:val="1890"/>
        </w:trPr>
        <w:tc>
          <w:tcPr>
            <w:tcW w:w="570" w:type="dxa"/>
            <w:tcBorders>
              <w:top w:val="single" w:sz="4" w:space="0" w:color="auto"/>
              <w:left w:val="single" w:sz="4" w:space="0" w:color="auto"/>
              <w:bottom w:val="single" w:sz="4" w:space="0" w:color="auto"/>
              <w:right w:val="single" w:sz="4" w:space="0" w:color="auto"/>
            </w:tcBorders>
            <w:noWrap/>
            <w:hideMark/>
          </w:tcPr>
          <w:p w:rsidR="00C403F1" w:rsidRDefault="00C40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p>
        </w:tc>
        <w:tc>
          <w:tcPr>
            <w:tcW w:w="9257" w:type="dxa"/>
            <w:tcBorders>
              <w:top w:val="single" w:sz="4" w:space="0" w:color="auto"/>
              <w:left w:val="nil"/>
              <w:bottom w:val="single" w:sz="4" w:space="0" w:color="auto"/>
              <w:right w:val="single" w:sz="4" w:space="0" w:color="auto"/>
            </w:tcBorders>
            <w:noWrap/>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Undertaking in accordance with Regulation 11 of the SEBI (LODR) Regulations, 2015 i.e. scheme of arrangement /amalgamation /merger /reconstruction /reduction of capital etc. to be presented to any Court or Tribunal does not in any way violate, override or limit the provisions of securities laws or requirements of the stock exchange(s).</w:t>
            </w:r>
          </w:p>
        </w:tc>
      </w:tr>
      <w:tr w:rsidR="00C403F1" w:rsidTr="00C403F1">
        <w:trPr>
          <w:trHeight w:val="315"/>
        </w:trPr>
        <w:tc>
          <w:tcPr>
            <w:tcW w:w="570" w:type="dxa"/>
            <w:tcBorders>
              <w:top w:val="single" w:sz="4" w:space="0" w:color="auto"/>
              <w:left w:val="single" w:sz="4" w:space="0" w:color="auto"/>
              <w:bottom w:val="single" w:sz="4" w:space="0" w:color="auto"/>
              <w:right w:val="single" w:sz="4" w:space="0" w:color="auto"/>
            </w:tcBorders>
            <w:noWrap/>
            <w:hideMark/>
          </w:tcPr>
          <w:p w:rsidR="00C403F1" w:rsidRDefault="00C40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w:t>
            </w:r>
          </w:p>
        </w:tc>
        <w:tc>
          <w:tcPr>
            <w:tcW w:w="9257" w:type="dxa"/>
            <w:tcBorders>
              <w:top w:val="single" w:sz="4" w:space="0" w:color="auto"/>
              <w:left w:val="nil"/>
              <w:bottom w:val="single" w:sz="4" w:space="0" w:color="auto"/>
              <w:right w:val="single" w:sz="4" w:space="0" w:color="auto"/>
            </w:tcBorders>
            <w:noWrap/>
            <w:vAlign w:val="bottom"/>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Rational behind the scheme of arrangement.</w:t>
            </w:r>
          </w:p>
        </w:tc>
      </w:tr>
      <w:tr w:rsidR="00C403F1" w:rsidTr="00C403F1">
        <w:trPr>
          <w:trHeight w:val="315"/>
        </w:trPr>
        <w:tc>
          <w:tcPr>
            <w:tcW w:w="570" w:type="dxa"/>
            <w:tcBorders>
              <w:top w:val="single" w:sz="4" w:space="0" w:color="auto"/>
              <w:left w:val="single" w:sz="4" w:space="0" w:color="auto"/>
              <w:bottom w:val="single" w:sz="4" w:space="0" w:color="auto"/>
              <w:right w:val="single" w:sz="4" w:space="0" w:color="auto"/>
            </w:tcBorders>
            <w:noWrap/>
            <w:hideMark/>
          </w:tcPr>
          <w:p w:rsidR="00C403F1" w:rsidRDefault="00C40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9257" w:type="dxa"/>
            <w:tcBorders>
              <w:top w:val="single" w:sz="4" w:space="0" w:color="auto"/>
              <w:left w:val="nil"/>
              <w:bottom w:val="single" w:sz="4" w:space="0" w:color="auto"/>
              <w:right w:val="single" w:sz="4" w:space="0" w:color="auto"/>
            </w:tcBorders>
            <w:noWrap/>
            <w:vAlign w:val="bottom"/>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Brief details about the business of the Companies.</w:t>
            </w:r>
          </w:p>
        </w:tc>
      </w:tr>
      <w:tr w:rsidR="00C403F1" w:rsidTr="00C403F1">
        <w:trPr>
          <w:trHeight w:val="945"/>
        </w:trPr>
        <w:tc>
          <w:tcPr>
            <w:tcW w:w="570"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p>
        </w:tc>
        <w:tc>
          <w:tcPr>
            <w:tcW w:w="9257" w:type="dxa"/>
            <w:tcBorders>
              <w:top w:val="single" w:sz="4" w:space="0" w:color="auto"/>
              <w:left w:val="nil"/>
              <w:bottom w:val="single" w:sz="4" w:space="0" w:color="auto"/>
              <w:right w:val="single" w:sz="4" w:space="0" w:color="auto"/>
            </w:tcBorders>
            <w:noWrap/>
            <w:vAlign w:val="bottom"/>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Website link of the Company where the draft Scheme and other required documents shall be uploaded (Also submit soft copy of the documents)</w:t>
            </w:r>
          </w:p>
        </w:tc>
      </w:tr>
      <w:tr w:rsidR="00C403F1" w:rsidTr="00C403F1">
        <w:trPr>
          <w:trHeight w:val="630"/>
        </w:trPr>
        <w:tc>
          <w:tcPr>
            <w:tcW w:w="570" w:type="dxa"/>
            <w:tcBorders>
              <w:top w:val="nil"/>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p>
        </w:tc>
        <w:tc>
          <w:tcPr>
            <w:tcW w:w="9257" w:type="dxa"/>
            <w:tcBorders>
              <w:top w:val="nil"/>
              <w:left w:val="nil"/>
              <w:bottom w:val="single" w:sz="4" w:space="0" w:color="auto"/>
              <w:right w:val="single" w:sz="4" w:space="0" w:color="auto"/>
            </w:tcBorders>
            <w:noWrap/>
            <w:vAlign w:val="bottom"/>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Complaints Report as per Para 1(A)(6) of Annexure-II of SEBI Circular CIR/CFD/CMD/16/2015 dated November 30, 2015 </w:t>
            </w:r>
          </w:p>
        </w:tc>
      </w:tr>
    </w:tbl>
    <w:p w:rsidR="00C403F1" w:rsidRDefault="00C403F1" w:rsidP="00C403F1">
      <w:bookmarkStart w:id="0" w:name="_GoBack"/>
      <w:bookmarkEnd w:id="0"/>
    </w:p>
    <w:tbl>
      <w:tblPr>
        <w:tblW w:w="9380" w:type="dxa"/>
        <w:tblInd w:w="108" w:type="dxa"/>
        <w:tblLook w:val="04A0" w:firstRow="1" w:lastRow="0" w:firstColumn="1" w:lastColumn="0" w:noHBand="0" w:noVBand="1"/>
      </w:tblPr>
      <w:tblGrid>
        <w:gridCol w:w="560"/>
        <w:gridCol w:w="6548"/>
        <w:gridCol w:w="1136"/>
        <w:gridCol w:w="1136"/>
      </w:tblGrid>
      <w:tr w:rsidR="00C403F1" w:rsidTr="00C403F1">
        <w:trPr>
          <w:trHeight w:val="315"/>
        </w:trPr>
        <w:tc>
          <w:tcPr>
            <w:tcW w:w="560" w:type="dxa"/>
            <w:noWrap/>
            <w:vAlign w:val="bottom"/>
            <w:hideMark/>
          </w:tcPr>
          <w:p w:rsidR="00C403F1" w:rsidRDefault="00C403F1"/>
        </w:tc>
        <w:tc>
          <w:tcPr>
            <w:tcW w:w="6548" w:type="dxa"/>
            <w:noWrap/>
            <w:vAlign w:val="bottom"/>
            <w:hideMark/>
          </w:tcPr>
          <w:p w:rsidR="00C403F1" w:rsidRDefault="00C403F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c>
          <w:tcPr>
            <w:tcW w:w="2272" w:type="dxa"/>
            <w:gridSpan w:val="2"/>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403F1" w:rsidTr="00C403F1">
        <w:trPr>
          <w:trHeight w:val="315"/>
        </w:trPr>
        <w:tc>
          <w:tcPr>
            <w:tcW w:w="560" w:type="dxa"/>
            <w:hideMark/>
          </w:tcPr>
          <w:p w:rsidR="00C403F1" w:rsidRDefault="00C403F1">
            <w:pPr>
              <w:rPr>
                <w:rFonts w:ascii="Times New Roman" w:eastAsia="Times New Roman" w:hAnsi="Times New Roman" w:cs="Times New Roman"/>
                <w:sz w:val="24"/>
                <w:szCs w:val="24"/>
              </w:rPr>
            </w:pPr>
          </w:p>
        </w:tc>
        <w:tc>
          <w:tcPr>
            <w:tcW w:w="6548" w:type="dxa"/>
            <w:hideMark/>
          </w:tcPr>
          <w:p w:rsidR="00C403F1" w:rsidRDefault="00C403F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Place</w:t>
            </w:r>
          </w:p>
        </w:tc>
        <w:tc>
          <w:tcPr>
            <w:tcW w:w="2272" w:type="dxa"/>
            <w:gridSpan w:val="2"/>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403F1" w:rsidTr="00C403F1">
        <w:trPr>
          <w:trHeight w:val="315"/>
        </w:trPr>
        <w:tc>
          <w:tcPr>
            <w:tcW w:w="560" w:type="dxa"/>
            <w:hideMark/>
          </w:tcPr>
          <w:p w:rsidR="00C403F1" w:rsidRDefault="00C403F1">
            <w:pPr>
              <w:rPr>
                <w:rFonts w:ascii="Times New Roman" w:eastAsia="Times New Roman" w:hAnsi="Times New Roman" w:cs="Times New Roman"/>
                <w:sz w:val="24"/>
                <w:szCs w:val="24"/>
              </w:rPr>
            </w:pPr>
          </w:p>
        </w:tc>
        <w:tc>
          <w:tcPr>
            <w:tcW w:w="6548" w:type="dxa"/>
            <w:noWrap/>
            <w:vAlign w:val="center"/>
            <w:hideMark/>
          </w:tcPr>
          <w:p w:rsidR="00C403F1" w:rsidRDefault="00C403F1">
            <w:pPr>
              <w:jc w:val="right"/>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Authorised</w:t>
            </w:r>
            <w:proofErr w:type="spellEnd"/>
            <w:r>
              <w:rPr>
                <w:rFonts w:ascii="Times New Roman" w:eastAsia="Times New Roman" w:hAnsi="Times New Roman" w:cs="Times New Roman"/>
                <w:sz w:val="24"/>
                <w:szCs w:val="24"/>
              </w:rPr>
              <w:t xml:space="preserve"> Signatory and Stamp of the company</w:t>
            </w:r>
          </w:p>
        </w:tc>
        <w:tc>
          <w:tcPr>
            <w:tcW w:w="2272" w:type="dxa"/>
            <w:gridSpan w:val="2"/>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403F1" w:rsidTr="00C403F1">
        <w:trPr>
          <w:trHeight w:val="315"/>
        </w:trPr>
        <w:tc>
          <w:tcPr>
            <w:tcW w:w="560" w:type="dxa"/>
            <w:hideMark/>
          </w:tcPr>
          <w:p w:rsidR="00C403F1" w:rsidRDefault="00C403F1">
            <w:pPr>
              <w:rPr>
                <w:rFonts w:ascii="Times New Roman" w:eastAsia="Times New Roman" w:hAnsi="Times New Roman" w:cs="Times New Roman"/>
                <w:sz w:val="24"/>
                <w:szCs w:val="24"/>
              </w:rPr>
            </w:pPr>
          </w:p>
        </w:tc>
        <w:tc>
          <w:tcPr>
            <w:tcW w:w="6548" w:type="dxa"/>
            <w:hideMark/>
          </w:tcPr>
          <w:p w:rsidR="00C403F1" w:rsidRDefault="00C403F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tc>
        <w:tc>
          <w:tcPr>
            <w:tcW w:w="2272" w:type="dxa"/>
            <w:gridSpan w:val="2"/>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403F1" w:rsidTr="00C403F1">
        <w:trPr>
          <w:trHeight w:val="315"/>
        </w:trPr>
        <w:tc>
          <w:tcPr>
            <w:tcW w:w="560" w:type="dxa"/>
            <w:hideMark/>
          </w:tcPr>
          <w:p w:rsidR="00C403F1" w:rsidRDefault="00C403F1">
            <w:pPr>
              <w:rPr>
                <w:rFonts w:ascii="Times New Roman" w:eastAsia="Times New Roman" w:hAnsi="Times New Roman" w:cs="Times New Roman"/>
                <w:sz w:val="24"/>
                <w:szCs w:val="24"/>
              </w:rPr>
            </w:pPr>
          </w:p>
        </w:tc>
        <w:tc>
          <w:tcPr>
            <w:tcW w:w="6548" w:type="dxa"/>
            <w:hideMark/>
          </w:tcPr>
          <w:p w:rsidR="00C403F1" w:rsidRDefault="00C403F1">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Designation</w:t>
            </w:r>
          </w:p>
        </w:tc>
        <w:tc>
          <w:tcPr>
            <w:tcW w:w="2272" w:type="dxa"/>
            <w:gridSpan w:val="2"/>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C403F1" w:rsidTr="00C403F1">
        <w:trPr>
          <w:trHeight w:val="315"/>
        </w:trPr>
        <w:tc>
          <w:tcPr>
            <w:tcW w:w="560" w:type="dxa"/>
            <w:noWrap/>
            <w:vAlign w:val="bottom"/>
            <w:hideMark/>
          </w:tcPr>
          <w:p w:rsidR="00C403F1" w:rsidRDefault="00C403F1">
            <w:pPr>
              <w:rPr>
                <w:rFonts w:ascii="Times New Roman" w:eastAsia="Times New Roman" w:hAnsi="Times New Roman" w:cs="Times New Roman"/>
                <w:sz w:val="24"/>
                <w:szCs w:val="24"/>
              </w:rPr>
            </w:pPr>
          </w:p>
        </w:tc>
        <w:tc>
          <w:tcPr>
            <w:tcW w:w="6548" w:type="dxa"/>
            <w:vAlign w:val="center"/>
            <w:hideMark/>
          </w:tcPr>
          <w:p w:rsidR="00C403F1" w:rsidRDefault="00C403F1">
            <w:pPr>
              <w:rPr>
                <w:sz w:val="20"/>
                <w:szCs w:val="20"/>
                <w:lang w:val="en-IN" w:eastAsia="en-IN"/>
              </w:rPr>
            </w:pPr>
          </w:p>
        </w:tc>
        <w:tc>
          <w:tcPr>
            <w:tcW w:w="1136" w:type="dxa"/>
            <w:noWrap/>
            <w:vAlign w:val="bottom"/>
            <w:hideMark/>
          </w:tcPr>
          <w:p w:rsidR="00C403F1" w:rsidRDefault="00C403F1">
            <w:pPr>
              <w:rPr>
                <w:sz w:val="20"/>
                <w:szCs w:val="20"/>
                <w:lang w:val="en-IN" w:eastAsia="en-IN"/>
              </w:rPr>
            </w:pPr>
          </w:p>
        </w:tc>
        <w:tc>
          <w:tcPr>
            <w:tcW w:w="1136" w:type="dxa"/>
            <w:noWrap/>
            <w:vAlign w:val="bottom"/>
            <w:hideMark/>
          </w:tcPr>
          <w:p w:rsidR="00C403F1" w:rsidRDefault="00C403F1">
            <w:pPr>
              <w:rPr>
                <w:sz w:val="20"/>
                <w:szCs w:val="20"/>
                <w:lang w:val="en-IN" w:eastAsia="en-IN"/>
              </w:rPr>
            </w:pPr>
          </w:p>
        </w:tc>
      </w:tr>
      <w:tr w:rsidR="00C403F1" w:rsidTr="00C403F1">
        <w:trPr>
          <w:trHeight w:val="315"/>
        </w:trPr>
        <w:tc>
          <w:tcPr>
            <w:tcW w:w="9380" w:type="dxa"/>
            <w:gridSpan w:val="4"/>
            <w:tcBorders>
              <w:top w:val="single" w:sz="4" w:space="0" w:color="auto"/>
              <w:left w:val="single" w:sz="4" w:space="0" w:color="auto"/>
              <w:bottom w:val="single" w:sz="4" w:space="0" w:color="auto"/>
              <w:right w:val="single" w:sz="4" w:space="0" w:color="auto"/>
            </w:tcBorders>
            <w:hideMark/>
          </w:tcPr>
          <w:p w:rsidR="00C403F1" w:rsidRDefault="00C403F1">
            <w:pPr>
              <w:rPr>
                <w:rFonts w:ascii="Times New Roman" w:eastAsia="Times New Roman" w:hAnsi="Times New Roman" w:cs="Times New Roman"/>
                <w:sz w:val="24"/>
                <w:szCs w:val="24"/>
              </w:rPr>
            </w:pPr>
            <w:r>
              <w:rPr>
                <w:rFonts w:ascii="Times New Roman" w:eastAsia="Times New Roman" w:hAnsi="Times New Roman" w:cs="Times New Roman"/>
                <w:sz w:val="24"/>
                <w:szCs w:val="24"/>
              </w:rPr>
              <w:t>* Provided that in case of Companies where the respective sectoral regulatory authorities have prescribed norms for accounting treatment of items in the financial statements contained in the scheme, the requirements of the regulatory authorities shall prevail.</w:t>
            </w:r>
          </w:p>
        </w:tc>
      </w:tr>
      <w:tr w:rsidR="00C403F1" w:rsidTr="00C403F1">
        <w:trPr>
          <w:trHeight w:val="315"/>
        </w:trPr>
        <w:tc>
          <w:tcPr>
            <w:tcW w:w="560" w:type="dxa"/>
            <w:noWrap/>
            <w:vAlign w:val="bottom"/>
            <w:hideMark/>
          </w:tcPr>
          <w:p w:rsidR="00C403F1" w:rsidRDefault="00C403F1">
            <w:pPr>
              <w:rPr>
                <w:rFonts w:ascii="Times New Roman" w:eastAsia="Times New Roman" w:hAnsi="Times New Roman" w:cs="Times New Roman"/>
                <w:sz w:val="24"/>
                <w:szCs w:val="24"/>
              </w:rPr>
            </w:pPr>
          </w:p>
        </w:tc>
        <w:tc>
          <w:tcPr>
            <w:tcW w:w="6548" w:type="dxa"/>
            <w:noWrap/>
            <w:vAlign w:val="bottom"/>
            <w:hideMark/>
          </w:tcPr>
          <w:p w:rsidR="00C403F1" w:rsidRDefault="00C403F1">
            <w:pPr>
              <w:rPr>
                <w:sz w:val="20"/>
                <w:szCs w:val="20"/>
                <w:lang w:val="en-IN" w:eastAsia="en-IN"/>
              </w:rPr>
            </w:pPr>
          </w:p>
        </w:tc>
        <w:tc>
          <w:tcPr>
            <w:tcW w:w="1136" w:type="dxa"/>
            <w:noWrap/>
            <w:vAlign w:val="bottom"/>
            <w:hideMark/>
          </w:tcPr>
          <w:p w:rsidR="00C403F1" w:rsidRDefault="00C403F1">
            <w:pPr>
              <w:rPr>
                <w:sz w:val="20"/>
                <w:szCs w:val="20"/>
                <w:lang w:val="en-IN" w:eastAsia="en-IN"/>
              </w:rPr>
            </w:pPr>
          </w:p>
        </w:tc>
        <w:tc>
          <w:tcPr>
            <w:tcW w:w="1136" w:type="dxa"/>
            <w:noWrap/>
            <w:vAlign w:val="bottom"/>
            <w:hideMark/>
          </w:tcPr>
          <w:p w:rsidR="00C403F1" w:rsidRDefault="00C403F1">
            <w:pPr>
              <w:rPr>
                <w:sz w:val="20"/>
                <w:szCs w:val="20"/>
                <w:lang w:val="en-IN" w:eastAsia="en-IN"/>
              </w:rPr>
            </w:pPr>
          </w:p>
        </w:tc>
      </w:tr>
      <w:tr w:rsidR="00C403F1" w:rsidTr="00C403F1">
        <w:trPr>
          <w:trHeight w:val="315"/>
        </w:trPr>
        <w:tc>
          <w:tcPr>
            <w:tcW w:w="9380" w:type="dxa"/>
            <w:gridSpan w:val="4"/>
            <w:tcBorders>
              <w:top w:val="single" w:sz="4" w:space="0" w:color="auto"/>
              <w:left w:val="single" w:sz="4" w:space="0" w:color="auto"/>
              <w:bottom w:val="single" w:sz="4" w:space="0" w:color="auto"/>
              <w:right w:val="single" w:sz="4" w:space="0" w:color="auto"/>
            </w:tcBorders>
            <w:hideMark/>
          </w:tcPr>
          <w:p w:rsidR="00C403F1" w:rsidRDefault="00C403F1">
            <w:pPr>
              <w:rPr>
                <w:rFonts w:ascii="Times New Roman" w:eastAsia="Times New Roman" w:hAnsi="Times New Roman" w:cs="Times New Roman"/>
                <w:sz w:val="24"/>
                <w:szCs w:val="24"/>
              </w:rPr>
            </w:pPr>
            <w:r>
              <w:rPr>
                <w:rFonts w:ascii="Times New Roman" w:eastAsia="Times New Roman" w:hAnsi="Times New Roman" w:cs="Times New Roman"/>
                <w:sz w:val="24"/>
                <w:szCs w:val="24"/>
              </w:rPr>
              <w:t>** Free Reserves to be considered as per Section 2(43) of the Companies Act, 2013.</w:t>
            </w:r>
          </w:p>
        </w:tc>
      </w:tr>
    </w:tbl>
    <w:p w:rsidR="00C403F1" w:rsidRDefault="00C403F1" w:rsidP="00C403F1"/>
    <w:p w:rsidR="00C403F1" w:rsidRDefault="00C403F1" w:rsidP="00C403F1"/>
    <w:tbl>
      <w:tblPr>
        <w:tblW w:w="9396" w:type="dxa"/>
        <w:tblInd w:w="108" w:type="dxa"/>
        <w:tblLook w:val="04A0" w:firstRow="1" w:lastRow="0" w:firstColumn="1" w:lastColumn="0" w:noHBand="0" w:noVBand="1"/>
      </w:tblPr>
      <w:tblGrid>
        <w:gridCol w:w="9396"/>
      </w:tblGrid>
      <w:tr w:rsidR="00C403F1" w:rsidTr="00C403F1">
        <w:trPr>
          <w:trHeight w:val="315"/>
        </w:trPr>
        <w:tc>
          <w:tcPr>
            <w:tcW w:w="9396" w:type="dxa"/>
            <w:noWrap/>
            <w:vAlign w:val="bottom"/>
          </w:tcPr>
          <w:p w:rsidR="00C403F1" w:rsidRDefault="00C403F1">
            <w:pPr>
              <w:rPr>
                <w:rFonts w:ascii="Arial" w:eastAsia="Times New Roman" w:hAnsi="Arial" w:cs="Arial"/>
                <w:sz w:val="20"/>
                <w:szCs w:val="20"/>
              </w:rPr>
            </w:pPr>
          </w:p>
          <w:tbl>
            <w:tblPr>
              <w:tblW w:w="0" w:type="auto"/>
              <w:tblCellSpacing w:w="0" w:type="dxa"/>
              <w:tblCellMar>
                <w:left w:w="0" w:type="dxa"/>
                <w:right w:w="0" w:type="dxa"/>
              </w:tblCellMar>
              <w:tblLook w:val="04A0" w:firstRow="1" w:lastRow="0" w:firstColumn="1" w:lastColumn="0" w:noHBand="0" w:noVBand="1"/>
            </w:tblPr>
            <w:tblGrid>
              <w:gridCol w:w="9180"/>
            </w:tblGrid>
            <w:tr w:rsidR="00C403F1">
              <w:trPr>
                <w:trHeight w:val="315"/>
                <w:tblCellSpacing w:w="0" w:type="dxa"/>
              </w:trPr>
              <w:tc>
                <w:tcPr>
                  <w:tcW w:w="9380" w:type="dxa"/>
                  <w:vAlign w:val="center"/>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List of Documents to be submitted upon Sanction of the Scheme </w:t>
                  </w:r>
                </w:p>
              </w:tc>
            </w:tr>
          </w:tbl>
          <w:p w:rsidR="00C403F1" w:rsidRDefault="00C403F1"/>
        </w:tc>
      </w:tr>
      <w:tr w:rsidR="00C403F1" w:rsidTr="00C403F1">
        <w:trPr>
          <w:trHeight w:val="315"/>
        </w:trPr>
        <w:tc>
          <w:tcPr>
            <w:tcW w:w="9396" w:type="dxa"/>
            <w:noWrap/>
            <w:vAlign w:val="center"/>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by the Hon'ble High Court</w:t>
            </w:r>
          </w:p>
        </w:tc>
      </w:tr>
    </w:tbl>
    <w:p w:rsidR="00C403F1" w:rsidRDefault="00C403F1" w:rsidP="00C403F1"/>
    <w:tbl>
      <w:tblPr>
        <w:tblW w:w="9370" w:type="dxa"/>
        <w:tblInd w:w="103" w:type="dxa"/>
        <w:tblLook w:val="04A0" w:firstRow="1" w:lastRow="0" w:firstColumn="1" w:lastColumn="0" w:noHBand="0" w:noVBand="1"/>
      </w:tblPr>
      <w:tblGrid>
        <w:gridCol w:w="570"/>
        <w:gridCol w:w="9105"/>
      </w:tblGrid>
      <w:tr w:rsidR="00C403F1" w:rsidTr="00C403F1">
        <w:trPr>
          <w:trHeight w:val="630"/>
        </w:trPr>
        <w:tc>
          <w:tcPr>
            <w:tcW w:w="265" w:type="dxa"/>
            <w:tcBorders>
              <w:top w:val="single" w:sz="4" w:space="0" w:color="auto"/>
              <w:left w:val="single" w:sz="4" w:space="0" w:color="auto"/>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Sr. No.</w:t>
            </w:r>
          </w:p>
        </w:tc>
        <w:tc>
          <w:tcPr>
            <w:tcW w:w="9105" w:type="dxa"/>
            <w:tcBorders>
              <w:top w:val="single" w:sz="4" w:space="0" w:color="auto"/>
              <w:left w:val="nil"/>
              <w:bottom w:val="single" w:sz="4" w:space="0" w:color="auto"/>
              <w:right w:val="single" w:sz="4" w:space="0" w:color="auto"/>
            </w:tcBorders>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List of Documents</w:t>
            </w:r>
          </w:p>
        </w:tc>
      </w:tr>
      <w:tr w:rsidR="00C403F1" w:rsidTr="00C403F1">
        <w:trPr>
          <w:trHeight w:val="315"/>
        </w:trPr>
        <w:tc>
          <w:tcPr>
            <w:tcW w:w="265" w:type="dxa"/>
            <w:tcBorders>
              <w:top w:val="nil"/>
              <w:left w:val="single" w:sz="4" w:space="0" w:color="auto"/>
              <w:bottom w:val="single" w:sz="4" w:space="0" w:color="auto"/>
              <w:right w:val="single" w:sz="4" w:space="0" w:color="auto"/>
            </w:tcBorders>
            <w:noWrap/>
            <w:vAlign w:val="bottom"/>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p>
        </w:tc>
        <w:tc>
          <w:tcPr>
            <w:tcW w:w="9105" w:type="dxa"/>
            <w:tcBorders>
              <w:top w:val="nil"/>
              <w:left w:val="nil"/>
              <w:bottom w:val="single" w:sz="4" w:space="0" w:color="auto"/>
              <w:right w:val="single" w:sz="4" w:space="0" w:color="auto"/>
            </w:tcBorders>
            <w:noWrap/>
            <w:vAlign w:val="bottom"/>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Copy of the High Court approved Scheme</w:t>
            </w:r>
          </w:p>
        </w:tc>
      </w:tr>
      <w:tr w:rsidR="00C403F1" w:rsidTr="00C403F1">
        <w:trPr>
          <w:trHeight w:val="315"/>
        </w:trPr>
        <w:tc>
          <w:tcPr>
            <w:tcW w:w="265" w:type="dxa"/>
            <w:tcBorders>
              <w:top w:val="nil"/>
              <w:left w:val="single" w:sz="4" w:space="0" w:color="auto"/>
              <w:bottom w:val="single" w:sz="4" w:space="0" w:color="auto"/>
              <w:right w:val="single" w:sz="4" w:space="0" w:color="auto"/>
            </w:tcBorders>
            <w:noWrap/>
            <w:vAlign w:val="bottom"/>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9105" w:type="dxa"/>
            <w:tcBorders>
              <w:top w:val="nil"/>
              <w:left w:val="nil"/>
              <w:bottom w:val="single" w:sz="4" w:space="0" w:color="auto"/>
              <w:right w:val="single" w:sz="4" w:space="0" w:color="auto"/>
            </w:tcBorders>
            <w:noWrap/>
            <w:vAlign w:val="bottom"/>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 of voting by shareholders for approving the Scheme</w:t>
            </w:r>
          </w:p>
        </w:tc>
      </w:tr>
      <w:tr w:rsidR="00C403F1" w:rsidTr="00C403F1">
        <w:trPr>
          <w:trHeight w:val="630"/>
        </w:trPr>
        <w:tc>
          <w:tcPr>
            <w:tcW w:w="265" w:type="dxa"/>
            <w:tcBorders>
              <w:top w:val="nil"/>
              <w:left w:val="single" w:sz="4" w:space="0" w:color="auto"/>
              <w:bottom w:val="single" w:sz="4" w:space="0" w:color="auto"/>
              <w:right w:val="single" w:sz="4" w:space="0" w:color="auto"/>
            </w:tcBorders>
            <w:noWrap/>
            <w:vAlign w:val="bottom"/>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p>
        </w:tc>
        <w:tc>
          <w:tcPr>
            <w:tcW w:w="9105" w:type="dxa"/>
            <w:tcBorders>
              <w:top w:val="nil"/>
              <w:left w:val="nil"/>
              <w:bottom w:val="single" w:sz="4" w:space="0" w:color="auto"/>
              <w:right w:val="single" w:sz="4" w:space="0" w:color="auto"/>
            </w:tcBorders>
            <w:noWrap/>
            <w:vAlign w:val="bottom"/>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 explaining changes, if any, and reasons for such changes carried out in the Approved Scheme vis-à-vis the Draft Scheme</w:t>
            </w:r>
          </w:p>
        </w:tc>
      </w:tr>
      <w:tr w:rsidR="00C403F1" w:rsidTr="00C403F1">
        <w:trPr>
          <w:trHeight w:val="315"/>
        </w:trPr>
        <w:tc>
          <w:tcPr>
            <w:tcW w:w="265" w:type="dxa"/>
            <w:tcBorders>
              <w:top w:val="nil"/>
              <w:left w:val="single" w:sz="4" w:space="0" w:color="auto"/>
              <w:bottom w:val="single" w:sz="4" w:space="0" w:color="auto"/>
              <w:right w:val="single" w:sz="4" w:space="0" w:color="auto"/>
            </w:tcBorders>
            <w:noWrap/>
            <w:vAlign w:val="bottom"/>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p>
        </w:tc>
        <w:tc>
          <w:tcPr>
            <w:tcW w:w="9105" w:type="dxa"/>
            <w:tcBorders>
              <w:top w:val="nil"/>
              <w:left w:val="nil"/>
              <w:bottom w:val="single" w:sz="4" w:space="0" w:color="auto"/>
              <w:right w:val="single" w:sz="4" w:space="0" w:color="auto"/>
            </w:tcBorders>
            <w:noWrap/>
            <w:vAlign w:val="bottom"/>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Status of compliance with the Observation Letter</w:t>
            </w:r>
          </w:p>
        </w:tc>
      </w:tr>
      <w:tr w:rsidR="00C403F1" w:rsidTr="00C403F1">
        <w:trPr>
          <w:trHeight w:val="315"/>
        </w:trPr>
        <w:tc>
          <w:tcPr>
            <w:tcW w:w="265" w:type="dxa"/>
            <w:tcBorders>
              <w:top w:val="nil"/>
              <w:left w:val="single" w:sz="4" w:space="0" w:color="auto"/>
              <w:bottom w:val="single" w:sz="4" w:space="0" w:color="auto"/>
              <w:right w:val="single" w:sz="4" w:space="0" w:color="auto"/>
            </w:tcBorders>
            <w:noWrap/>
            <w:vAlign w:val="bottom"/>
            <w:hideMark/>
          </w:tcPr>
          <w:p w:rsidR="00C403F1" w:rsidRDefault="00C403F1">
            <w:pPr>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p>
        </w:tc>
        <w:tc>
          <w:tcPr>
            <w:tcW w:w="9105" w:type="dxa"/>
            <w:tcBorders>
              <w:top w:val="nil"/>
              <w:left w:val="nil"/>
              <w:bottom w:val="single" w:sz="4" w:space="0" w:color="auto"/>
              <w:right w:val="single" w:sz="4" w:space="0" w:color="auto"/>
            </w:tcBorders>
            <w:noWrap/>
            <w:vAlign w:val="bottom"/>
            <w:hideMark/>
          </w:tcPr>
          <w:p w:rsidR="00C403F1" w:rsidRDefault="00C403F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Complaints Report as per Annexure I</w:t>
            </w:r>
          </w:p>
        </w:tc>
      </w:tr>
    </w:tbl>
    <w:p w:rsidR="00C403F1" w:rsidRDefault="00C403F1" w:rsidP="00C403F1"/>
    <w:p w:rsidR="00AD0927" w:rsidRDefault="00C403F1"/>
    <w:sectPr w:rsidR="00AD0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3F8"/>
    <w:rsid w:val="008B0947"/>
    <w:rsid w:val="008D73F8"/>
    <w:rsid w:val="00945675"/>
    <w:rsid w:val="00C403F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0F621-FC82-48D6-9605-ED657597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3F1"/>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95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Company/>
  <LinksUpToDate>false</LinksUpToDate>
  <CharactersWithSpaces>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chandrani</dc:creator>
  <cp:keywords/>
  <dc:description/>
  <cp:lastModifiedBy>chandrani</cp:lastModifiedBy>
  <cp:revision>2</cp:revision>
  <dcterms:created xsi:type="dcterms:W3CDTF">2018-03-29T07:59:00Z</dcterms:created>
  <dcterms:modified xsi:type="dcterms:W3CDTF">2018-03-29T08:00:00Z</dcterms:modified>
</cp:coreProperties>
</file>