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9" w:type="dxa"/>
        <w:tblInd w:w="-432" w:type="dxa"/>
        <w:tblLayout w:type="fixed"/>
        <w:tblLook w:val="04A0" w:firstRow="1" w:lastRow="0" w:firstColumn="1" w:lastColumn="0" w:noHBand="0" w:noVBand="1"/>
      </w:tblPr>
      <w:tblGrid>
        <w:gridCol w:w="1727"/>
        <w:gridCol w:w="8252"/>
      </w:tblGrid>
      <w:tr w:rsidR="0025700A">
        <w:trPr>
          <w:trHeight w:val="1653"/>
        </w:trPr>
        <w:tc>
          <w:tcPr>
            <w:tcW w:w="1727" w:type="dxa"/>
          </w:tcPr>
          <w:p w:rsidR="0025700A" w:rsidRDefault="00205C55">
            <w:pPr>
              <w:rPr>
                <w:rFonts w:ascii="Bookman Old Style" w:hAnsi="Bookman Old Style"/>
                <w:b/>
              </w:rPr>
            </w:pPr>
            <w:r>
              <w:rPr>
                <w:rFonts w:ascii="Bookman Old Style" w:hAnsi="Bookman Old Style"/>
                <w:noProof/>
                <w:sz w:val="18"/>
                <w:szCs w:val="18"/>
                <w:lang w:val="en-IN" w:eastAsia="en-IN"/>
              </w:rPr>
              <w:drawing>
                <wp:inline distT="0" distB="0" distL="0" distR="0">
                  <wp:extent cx="962025" cy="971550"/>
                  <wp:effectExtent l="0" t="0" r="9525" b="0"/>
                  <wp:docPr id="7" name="Picture 7" descr="CSE_Logo_2008_Bla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SE_Logo_2008_Blak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62025" cy="971550"/>
                          </a:xfrm>
                          <a:prstGeom prst="rect">
                            <a:avLst/>
                          </a:prstGeom>
                          <a:noFill/>
                          <a:ln>
                            <a:noFill/>
                          </a:ln>
                        </pic:spPr>
                      </pic:pic>
                    </a:graphicData>
                  </a:graphic>
                </wp:inline>
              </w:drawing>
            </w:r>
          </w:p>
        </w:tc>
        <w:tc>
          <w:tcPr>
            <w:tcW w:w="8252" w:type="dxa"/>
          </w:tcPr>
          <w:p w:rsidR="0025700A" w:rsidRDefault="00205C55">
            <w:pPr>
              <w:pStyle w:val="Heading2"/>
              <w:spacing w:line="256" w:lineRule="auto"/>
              <w:jc w:val="right"/>
              <w:rPr>
                <w:rFonts w:ascii="Monotype Corsiva" w:hAnsi="Monotype Corsiva" w:cs="Microsoft Sans Serif"/>
                <w:sz w:val="48"/>
                <w:szCs w:val="48"/>
              </w:rPr>
            </w:pPr>
            <w:r>
              <w:rPr>
                <w:rFonts w:ascii="Monotype Corsiva" w:hAnsi="Monotype Corsiva" w:cs="Microsoft Sans Serif"/>
                <w:sz w:val="48"/>
                <w:szCs w:val="48"/>
              </w:rPr>
              <w:t xml:space="preserve">        The Calcutta Stock Exchange Limited</w:t>
            </w:r>
          </w:p>
          <w:p w:rsidR="0025700A" w:rsidRDefault="00205C55">
            <w:pPr>
              <w:jc w:val="right"/>
              <w:rPr>
                <w:rFonts w:ascii="Bookman Old Style" w:hAnsi="Bookman Old Style"/>
                <w:sz w:val="20"/>
                <w:u w:val="single"/>
              </w:rPr>
            </w:pPr>
            <w:r>
              <w:rPr>
                <w:rFonts w:ascii="Bookman Old Style" w:hAnsi="Bookman Old Style"/>
                <w:b/>
                <w:bCs/>
                <w:sz w:val="18"/>
              </w:rPr>
              <w:t xml:space="preserve">        7, Lyons Range, Kolkata - 700 001</w:t>
            </w:r>
            <w:r>
              <w:rPr>
                <w:rFonts w:ascii="Bookman Old Style" w:hAnsi="Bookman Old Style"/>
                <w:sz w:val="18"/>
              </w:rPr>
              <w:t xml:space="preserve">                                                                          Phone: 4025-3000 , Fax No: 4025 3030  </w:t>
            </w:r>
            <w:r>
              <w:rPr>
                <w:rFonts w:ascii="Bookman Old Style" w:hAnsi="Bookman Old Style"/>
                <w:sz w:val="20"/>
              </w:rPr>
              <w:t xml:space="preserve">Website: </w:t>
            </w:r>
            <w:hyperlink r:id="rId9" w:history="1">
              <w:r>
                <w:rPr>
                  <w:rStyle w:val="Hyperlink"/>
                  <w:sz w:val="20"/>
                </w:rPr>
                <w:t>www.cse-india.com</w:t>
              </w:r>
            </w:hyperlink>
            <w:r>
              <w:rPr>
                <w:rFonts w:ascii="Bookman Old Style" w:hAnsi="Bookman Old Style"/>
                <w:sz w:val="20"/>
                <w:u w:val="single"/>
              </w:rPr>
              <w:t xml:space="preserve">, </w:t>
            </w:r>
          </w:p>
          <w:p w:rsidR="0025700A" w:rsidRDefault="00205C55">
            <w:pPr>
              <w:jc w:val="right"/>
              <w:rPr>
                <w:rFonts w:ascii="Bookman Old Style" w:hAnsi="Bookman Old Style"/>
              </w:rPr>
            </w:pPr>
            <w:r>
              <w:rPr>
                <w:rFonts w:ascii="Bookman Old Style" w:hAnsi="Bookman Old Style"/>
                <w:sz w:val="20"/>
                <w:lang w:val="en-IN"/>
              </w:rPr>
              <w:t xml:space="preserve">     </w:t>
            </w:r>
            <w:r>
              <w:rPr>
                <w:rFonts w:ascii="Bookman Old Style" w:hAnsi="Bookman Old Style"/>
                <w:sz w:val="20"/>
              </w:rPr>
              <w:t xml:space="preserve">                             </w:t>
            </w:r>
            <w:r>
              <w:rPr>
                <w:rFonts w:ascii="Bookman Old Style" w:hAnsi="Bookman Old Style"/>
                <w:sz w:val="18"/>
              </w:rPr>
              <w:t>CIN-U67120WB1923PLC004707</w:t>
            </w:r>
            <w:r>
              <w:rPr>
                <w:rFonts w:ascii="Bookman Old Style" w:hAnsi="Bookman Old Style"/>
                <w:sz w:val="20"/>
                <w:u w:val="single"/>
              </w:rPr>
              <w:t xml:space="preserve">email: </w:t>
            </w:r>
            <w:hyperlink r:id="rId10" w:history="1">
              <w:r>
                <w:rPr>
                  <w:rStyle w:val="Hyperlink"/>
                  <w:sz w:val="20"/>
                </w:rPr>
                <w:t>cseadmin@cse-india.com</w:t>
              </w:r>
            </w:hyperlink>
          </w:p>
        </w:tc>
      </w:tr>
    </w:tbl>
    <w:p w:rsidR="0025700A" w:rsidRDefault="0025700A" w:rsidP="00D215C1">
      <w:pPr>
        <w:pStyle w:val="Title"/>
        <w:spacing w:line="360" w:lineRule="auto"/>
        <w:jc w:val="left"/>
        <w:rPr>
          <w:rFonts w:ascii="Arial" w:eastAsiaTheme="minorHAnsi" w:hAnsi="Arial" w:cs="Arial"/>
          <w:b w:val="0"/>
          <w:bCs w:val="0"/>
          <w:color w:val="000000"/>
          <w:u w:val="none"/>
        </w:rPr>
      </w:pPr>
    </w:p>
    <w:p w:rsidR="0025700A" w:rsidRDefault="00205C55">
      <w:pPr>
        <w:pStyle w:val="Title"/>
        <w:spacing w:line="360" w:lineRule="auto"/>
        <w:ind w:left="5040" w:firstLine="720"/>
        <w:rPr>
          <w:rFonts w:ascii="Arial" w:eastAsiaTheme="minorHAnsi" w:hAnsi="Arial" w:cs="Arial"/>
          <w:b w:val="0"/>
          <w:bCs w:val="0"/>
          <w:color w:val="000000"/>
          <w:u w:val="none"/>
        </w:rPr>
      </w:pPr>
      <w:r>
        <w:rPr>
          <w:rFonts w:ascii="Arial" w:eastAsiaTheme="minorHAnsi" w:hAnsi="Arial" w:cs="Arial"/>
          <w:b w:val="0"/>
          <w:bCs w:val="0"/>
          <w:color w:val="000000"/>
          <w:u w:val="none"/>
        </w:rPr>
        <w:t xml:space="preserve">  </w:t>
      </w:r>
      <w:r w:rsidR="00FC5722">
        <w:rPr>
          <w:rFonts w:ascii="Arial" w:eastAsiaTheme="minorHAnsi" w:hAnsi="Arial" w:cs="Arial"/>
          <w:b w:val="0"/>
          <w:bCs w:val="0"/>
          <w:color w:val="000000"/>
          <w:u w:val="none"/>
        </w:rPr>
        <w:t xml:space="preserve">      </w:t>
      </w:r>
      <w:r>
        <w:rPr>
          <w:rFonts w:ascii="Arial" w:eastAsiaTheme="minorHAnsi" w:hAnsi="Arial" w:cs="Arial"/>
          <w:b w:val="0"/>
          <w:bCs w:val="0"/>
          <w:color w:val="000000"/>
          <w:u w:val="none"/>
        </w:rPr>
        <w:t xml:space="preserve">Dated: </w:t>
      </w:r>
      <w:r w:rsidR="00936919">
        <w:rPr>
          <w:rFonts w:ascii="Arial" w:eastAsiaTheme="minorHAnsi" w:hAnsi="Arial" w:cs="Arial"/>
          <w:b w:val="0"/>
          <w:bCs w:val="0"/>
          <w:color w:val="000000"/>
          <w:u w:val="none"/>
        </w:rPr>
        <w:t>14</w:t>
      </w:r>
      <w:r w:rsidR="00C14DE7">
        <w:rPr>
          <w:rFonts w:ascii="Arial" w:eastAsiaTheme="minorHAnsi" w:hAnsi="Arial" w:cs="Arial"/>
          <w:b w:val="0"/>
          <w:bCs w:val="0"/>
          <w:color w:val="000000"/>
          <w:u w:val="none"/>
          <w:vertAlign w:val="superscript"/>
        </w:rPr>
        <w:t>th</w:t>
      </w:r>
      <w:r w:rsidR="00CC4970">
        <w:rPr>
          <w:rFonts w:ascii="Arial" w:eastAsiaTheme="minorHAnsi" w:hAnsi="Arial" w:cs="Arial"/>
          <w:b w:val="0"/>
          <w:bCs w:val="0"/>
          <w:color w:val="000000"/>
          <w:u w:val="none"/>
        </w:rPr>
        <w:t xml:space="preserve"> </w:t>
      </w:r>
      <w:r w:rsidR="00936919">
        <w:rPr>
          <w:rFonts w:ascii="Arial" w:eastAsiaTheme="minorHAnsi" w:hAnsi="Arial" w:cs="Arial"/>
          <w:b w:val="0"/>
          <w:bCs w:val="0"/>
          <w:color w:val="000000"/>
          <w:u w:val="none"/>
        </w:rPr>
        <w:t>March</w:t>
      </w:r>
      <w:r w:rsidR="00D56A8A">
        <w:rPr>
          <w:rFonts w:ascii="Arial" w:eastAsiaTheme="minorHAnsi" w:hAnsi="Arial" w:cs="Arial"/>
          <w:b w:val="0"/>
          <w:bCs w:val="0"/>
          <w:color w:val="000000"/>
          <w:u w:val="none"/>
        </w:rPr>
        <w:t>,</w:t>
      </w:r>
      <w:r w:rsidR="00C14DE7">
        <w:rPr>
          <w:rFonts w:ascii="Arial" w:eastAsiaTheme="minorHAnsi" w:hAnsi="Arial" w:cs="Arial"/>
          <w:b w:val="0"/>
          <w:bCs w:val="0"/>
          <w:color w:val="000000"/>
          <w:u w:val="none"/>
        </w:rPr>
        <w:t xml:space="preserve"> 2024</w:t>
      </w:r>
    </w:p>
    <w:p w:rsidR="0025700A" w:rsidRDefault="00205C55">
      <w:pPr>
        <w:pStyle w:val="Title"/>
        <w:spacing w:line="360" w:lineRule="auto"/>
        <w:rPr>
          <w:rFonts w:ascii="Arial" w:eastAsiaTheme="minorHAnsi" w:hAnsi="Arial" w:cs="Arial"/>
          <w:bCs w:val="0"/>
          <w:color w:val="000000"/>
          <w:sz w:val="28"/>
          <w:szCs w:val="28"/>
        </w:rPr>
      </w:pPr>
      <w:r>
        <w:rPr>
          <w:rFonts w:ascii="Arial" w:eastAsiaTheme="minorHAnsi" w:hAnsi="Arial" w:cs="Arial"/>
          <w:bCs w:val="0"/>
          <w:color w:val="000000"/>
          <w:sz w:val="28"/>
          <w:szCs w:val="28"/>
        </w:rPr>
        <w:t>N O T I C E</w:t>
      </w:r>
    </w:p>
    <w:p w:rsidR="0025700A" w:rsidRPr="00D215C1" w:rsidRDefault="00205C55" w:rsidP="0013552B">
      <w:pPr>
        <w:pStyle w:val="Heading1"/>
        <w:ind w:left="-5" w:right="54"/>
        <w:jc w:val="both"/>
        <w:rPr>
          <w:rFonts w:ascii="Times New Roman" w:eastAsia="Arial" w:hAnsi="Times New Roman" w:cs="Times New Roman"/>
          <w:color w:val="000000"/>
          <w:sz w:val="22"/>
          <w:szCs w:val="22"/>
          <w:lang w:eastAsia="zh-CN" w:bidi="ar"/>
        </w:rPr>
      </w:pPr>
      <w:r w:rsidRPr="00D215C1">
        <w:rPr>
          <w:rFonts w:ascii="Times New Roman" w:eastAsia="Arial" w:hAnsi="Times New Roman" w:cs="Times New Roman"/>
          <w:color w:val="000000"/>
          <w:sz w:val="22"/>
          <w:szCs w:val="22"/>
          <w:lang w:eastAsia="zh-CN" w:bidi="ar"/>
        </w:rPr>
        <w:t xml:space="preserve">All Entities are hereby informed that the Exchange has received a Circular from </w:t>
      </w:r>
      <w:r w:rsidRPr="00D215C1">
        <w:rPr>
          <w:rFonts w:ascii="Times New Roman" w:eastAsia="Arial" w:hAnsi="Times New Roman" w:cs="Times New Roman"/>
          <w:b/>
          <w:color w:val="000000"/>
          <w:sz w:val="22"/>
          <w:szCs w:val="22"/>
          <w:lang w:eastAsia="zh-CN" w:bidi="ar"/>
        </w:rPr>
        <w:t xml:space="preserve">SEBI Vide Ref. </w:t>
      </w:r>
      <w:r w:rsidRPr="00D215C1">
        <w:rPr>
          <w:rFonts w:ascii="Times New Roman" w:eastAsia="Arial" w:hAnsi="Times New Roman" w:cs="Times New Roman"/>
          <w:color w:val="000000"/>
          <w:sz w:val="22"/>
          <w:szCs w:val="22"/>
          <w:lang w:eastAsia="zh-CN" w:bidi="ar"/>
        </w:rPr>
        <w:t>No</w:t>
      </w:r>
      <w:r w:rsidRPr="00D215C1">
        <w:rPr>
          <w:rFonts w:ascii="Times New Roman" w:eastAsia="Arial" w:hAnsi="Times New Roman" w:cs="Times New Roman"/>
          <w:b/>
          <w:color w:val="auto"/>
          <w:sz w:val="22"/>
          <w:szCs w:val="22"/>
        </w:rPr>
        <w:t xml:space="preserve">.  </w:t>
      </w:r>
      <w:r w:rsidR="00C14DE7" w:rsidRPr="00C14DE7">
        <w:rPr>
          <w:rFonts w:ascii="Times New Roman" w:eastAsia="Arial" w:hAnsi="Times New Roman" w:cs="Times New Roman"/>
          <w:color w:val="000000"/>
          <w:sz w:val="22"/>
          <w:szCs w:val="22"/>
          <w:lang w:eastAsia="zh-CN" w:bidi="ar"/>
        </w:rPr>
        <w:t xml:space="preserve">SEBI/HO/MRD/MRD-PoD-3/P/CIR/2024/6 </w:t>
      </w:r>
      <w:r w:rsidRPr="00CC4970">
        <w:rPr>
          <w:rFonts w:ascii="Times New Roman" w:eastAsia="Arial" w:hAnsi="Times New Roman" w:cs="Times New Roman"/>
          <w:color w:val="000000"/>
          <w:sz w:val="22"/>
          <w:szCs w:val="22"/>
          <w:lang w:eastAsia="zh-CN" w:bidi="ar"/>
        </w:rPr>
        <w:t xml:space="preserve">dated </w:t>
      </w:r>
      <w:r w:rsidR="00C14DE7" w:rsidRPr="00C14DE7">
        <w:rPr>
          <w:rFonts w:ascii="Times New Roman" w:eastAsia="Arial" w:hAnsi="Times New Roman" w:cs="Times New Roman"/>
          <w:color w:val="000000"/>
          <w:sz w:val="22"/>
          <w:szCs w:val="22"/>
          <w:lang w:eastAsia="zh-CN" w:bidi="ar"/>
        </w:rPr>
        <w:t>January 23, 2024</w:t>
      </w:r>
      <w:r w:rsidR="00E6617F" w:rsidRPr="00C14DE7">
        <w:rPr>
          <w:rFonts w:ascii="Times New Roman" w:eastAsia="Arial" w:hAnsi="Times New Roman" w:cs="Times New Roman"/>
          <w:color w:val="000000"/>
          <w:sz w:val="22"/>
          <w:szCs w:val="22"/>
          <w:lang w:eastAsia="zh-CN" w:bidi="ar"/>
        </w:rPr>
        <w:t>,</w:t>
      </w:r>
      <w:r w:rsidR="00E6617F" w:rsidRPr="00D215C1">
        <w:rPr>
          <w:rFonts w:ascii="Times New Roman" w:eastAsia="Arial" w:hAnsi="Times New Roman" w:cs="Times New Roman"/>
          <w:b/>
          <w:color w:val="000000"/>
          <w:sz w:val="22"/>
          <w:szCs w:val="22"/>
          <w:lang w:eastAsia="zh-CN" w:bidi="ar"/>
        </w:rPr>
        <w:t xml:space="preserve"> </w:t>
      </w:r>
      <w:r w:rsidRPr="00D215C1">
        <w:rPr>
          <w:rFonts w:ascii="Times New Roman" w:eastAsia="Arial" w:hAnsi="Times New Roman" w:cs="Times New Roman"/>
          <w:b/>
          <w:color w:val="000000"/>
          <w:sz w:val="22"/>
          <w:szCs w:val="22"/>
          <w:lang w:eastAsia="zh-CN" w:bidi="ar"/>
        </w:rPr>
        <w:t>regarding</w:t>
      </w:r>
      <w:r w:rsidRPr="00D215C1">
        <w:rPr>
          <w:rFonts w:ascii="Times New Roman" w:eastAsia="Arial" w:hAnsi="Times New Roman" w:cs="Times New Roman"/>
          <w:color w:val="000000"/>
          <w:sz w:val="22"/>
          <w:szCs w:val="22"/>
          <w:lang w:eastAsia="zh-CN" w:bidi="ar"/>
        </w:rPr>
        <w:t xml:space="preserve"> </w:t>
      </w:r>
      <w:r w:rsidR="00CC4970" w:rsidRPr="00CC4970">
        <w:rPr>
          <w:rFonts w:ascii="Times New Roman" w:eastAsia="Arial" w:hAnsi="Times New Roman" w:cs="Times New Roman"/>
          <w:color w:val="000000"/>
          <w:sz w:val="22"/>
          <w:szCs w:val="22"/>
          <w:lang w:eastAsia="zh-CN" w:bidi="ar"/>
        </w:rPr>
        <w:t>Limited relaxation from compliance with certain provisions of the SEBI (Listing Obligations and Disclosure Requirements) Regulations, 2015</w:t>
      </w:r>
      <w:r w:rsidR="00CC4970">
        <w:rPr>
          <w:rFonts w:ascii="Arial" w:eastAsia="Arial" w:hAnsi="Arial" w:cs="Arial"/>
          <w:b/>
        </w:rPr>
        <w:t xml:space="preserve">. </w:t>
      </w:r>
      <w:r w:rsidRPr="00D215C1">
        <w:rPr>
          <w:rFonts w:ascii="Times New Roman" w:eastAsia="Arial" w:hAnsi="Times New Roman" w:cs="Times New Roman"/>
          <w:color w:val="000000"/>
          <w:sz w:val="22"/>
          <w:szCs w:val="22"/>
          <w:lang w:eastAsia="zh-CN" w:bidi="ar"/>
        </w:rPr>
        <w:t>The contents of the said circular are reproduced hereunder for your information.</w:t>
      </w:r>
    </w:p>
    <w:p w:rsidR="0025700A" w:rsidRPr="00D215C1" w:rsidRDefault="0025700A">
      <w:pPr>
        <w:widowControl/>
        <w:adjustRightInd w:val="0"/>
        <w:jc w:val="both"/>
        <w:rPr>
          <w:rFonts w:ascii="Times New Roman" w:hAnsi="Times New Roman" w:cs="Times New Roman"/>
          <w:color w:val="000000"/>
        </w:rPr>
      </w:pPr>
    </w:p>
    <w:p w:rsidR="0025700A" w:rsidRPr="00D215C1" w:rsidRDefault="00205C55">
      <w:pPr>
        <w:widowControl/>
        <w:adjustRightInd w:val="0"/>
        <w:jc w:val="both"/>
        <w:rPr>
          <w:rFonts w:ascii="Times New Roman" w:eastAsiaTheme="minorHAnsi" w:hAnsi="Times New Roman" w:cs="Times New Roman"/>
          <w:b/>
          <w:color w:val="000000"/>
        </w:rPr>
      </w:pPr>
      <w:r w:rsidRPr="00D215C1">
        <w:rPr>
          <w:rFonts w:ascii="Times New Roman" w:hAnsi="Times New Roman" w:cs="Times New Roman"/>
          <w:b/>
          <w:color w:val="000000"/>
        </w:rPr>
        <w:t>Quote:</w:t>
      </w:r>
      <w:r w:rsidRPr="00D215C1">
        <w:rPr>
          <w:rFonts w:ascii="Times New Roman" w:eastAsiaTheme="minorHAnsi" w:hAnsi="Times New Roman" w:cs="Times New Roman"/>
          <w:color w:val="000000"/>
        </w:rPr>
        <w:t xml:space="preserve">                                             </w:t>
      </w:r>
      <w:r w:rsidRPr="00D215C1">
        <w:rPr>
          <w:rFonts w:ascii="Times New Roman" w:eastAsiaTheme="minorHAnsi" w:hAnsi="Times New Roman" w:cs="Times New Roman"/>
          <w:b/>
          <w:bCs/>
          <w:color w:val="000000"/>
        </w:rPr>
        <w:t xml:space="preserve">CIRCULAR </w:t>
      </w:r>
    </w:p>
    <w:p w:rsidR="009D2EEC" w:rsidRPr="00D215C1" w:rsidRDefault="009D2EEC" w:rsidP="009D2EEC">
      <w:pPr>
        <w:tabs>
          <w:tab w:val="center" w:pos="4321"/>
          <w:tab w:val="center" w:pos="7085"/>
        </w:tabs>
        <w:spacing w:after="4" w:line="250" w:lineRule="auto"/>
        <w:ind w:left="-15"/>
        <w:rPr>
          <w:rFonts w:ascii="Times New Roman" w:hAnsi="Times New Roman" w:cs="Times New Roman"/>
          <w:b/>
        </w:rPr>
      </w:pPr>
    </w:p>
    <w:p w:rsidR="00936919" w:rsidRDefault="00936919" w:rsidP="00936919">
      <w:pPr>
        <w:spacing w:after="292" w:line="259" w:lineRule="auto"/>
        <w:ind w:left="10" w:right="46" w:hanging="10"/>
        <w:jc w:val="right"/>
      </w:pPr>
      <w:r>
        <w:rPr>
          <w:rFonts w:ascii="Times New Roman" w:eastAsia="Times New Roman" w:hAnsi="Times New Roman" w:cs="Times New Roman"/>
        </w:rPr>
        <w:t xml:space="preserve">March 13, 2024 </w:t>
      </w:r>
    </w:p>
    <w:p w:rsidR="00936919" w:rsidRDefault="00936919" w:rsidP="00936919">
      <w:pPr>
        <w:tabs>
          <w:tab w:val="center" w:pos="4061"/>
          <w:tab w:val="center" w:pos="4739"/>
          <w:tab w:val="center" w:pos="5414"/>
          <w:tab w:val="center" w:pos="6092"/>
          <w:tab w:val="center" w:pos="6768"/>
        </w:tabs>
        <w:spacing w:after="260" w:line="259" w:lineRule="auto"/>
        <w:ind w:left="-15"/>
      </w:pPr>
      <w:r>
        <w:rPr>
          <w:rFonts w:ascii="Times New Roman" w:eastAsia="Times New Roman" w:hAnsi="Times New Roman" w:cs="Times New Roman"/>
        </w:rPr>
        <w:t xml:space="preserve">SEBI/HO/CFD/PoD-1/P/CIR/2024/ 016 </w:t>
      </w:r>
      <w:r>
        <w:rPr>
          <w:rFonts w:ascii="Times New Roman" w:eastAsia="Times New Roman" w:hAnsi="Times New Roman" w:cs="Times New Roman"/>
        </w:rPr>
        <w:tab/>
      </w:r>
      <w:r>
        <w:t xml:space="preserve"> </w:t>
      </w:r>
      <w:r>
        <w:tab/>
        <w:t xml:space="preserve"> </w:t>
      </w:r>
      <w:r>
        <w:tab/>
        <w:t xml:space="preserve"> </w:t>
      </w:r>
      <w:r>
        <w:tab/>
        <w:t xml:space="preserve"> </w:t>
      </w:r>
      <w:r>
        <w:tab/>
      </w:r>
      <w:r>
        <w:rPr>
          <w:rFonts w:ascii="Times New Roman" w:eastAsia="Times New Roman" w:hAnsi="Times New Roman" w:cs="Times New Roman"/>
        </w:rPr>
        <w:t xml:space="preserve"> </w:t>
      </w:r>
    </w:p>
    <w:p w:rsidR="00936919" w:rsidRDefault="00936919" w:rsidP="00936919">
      <w:pPr>
        <w:spacing w:after="260" w:line="259" w:lineRule="auto"/>
        <w:ind w:left="-5" w:hanging="10"/>
      </w:pPr>
      <w:r>
        <w:rPr>
          <w:rFonts w:ascii="Times New Roman" w:eastAsia="Times New Roman" w:hAnsi="Times New Roman" w:cs="Times New Roman"/>
        </w:rPr>
        <w:t xml:space="preserve">To </w:t>
      </w:r>
    </w:p>
    <w:p w:rsidR="00936919" w:rsidRDefault="00936919" w:rsidP="00936919">
      <w:pPr>
        <w:spacing w:after="260" w:line="259" w:lineRule="auto"/>
        <w:ind w:left="-5" w:hanging="10"/>
      </w:pPr>
      <w:r>
        <w:rPr>
          <w:rFonts w:ascii="Times New Roman" w:eastAsia="Times New Roman" w:hAnsi="Times New Roman" w:cs="Times New Roman"/>
        </w:rPr>
        <w:t xml:space="preserve">All Recognised Stock Exchanges </w:t>
      </w:r>
    </w:p>
    <w:p w:rsidR="00936919" w:rsidRDefault="00936919" w:rsidP="00936919">
      <w:pPr>
        <w:spacing w:after="260" w:line="259" w:lineRule="auto"/>
        <w:ind w:left="-5" w:hanging="10"/>
      </w:pPr>
      <w:r>
        <w:t xml:space="preserve">Dear Sir/Madam, </w:t>
      </w:r>
    </w:p>
    <w:p w:rsidR="00936919" w:rsidRDefault="00936919" w:rsidP="00936919">
      <w:pPr>
        <w:spacing w:after="151" w:line="358" w:lineRule="auto"/>
        <w:ind w:right="60"/>
      </w:pPr>
      <w:r>
        <w:rPr>
          <w:rFonts w:ascii="Times New Roman" w:eastAsia="Times New Roman" w:hAnsi="Times New Roman" w:cs="Times New Roman"/>
          <w:u w:val="single" w:color="000000"/>
        </w:rPr>
        <w:t>Sub: Repeal of circular(s) outlining procedure to deal with cases where securities</w:t>
      </w:r>
      <w:r>
        <w:rPr>
          <w:rFonts w:ascii="Times New Roman" w:eastAsia="Times New Roman" w:hAnsi="Times New Roman" w:cs="Times New Roman"/>
        </w:rPr>
        <w:t xml:space="preserve"> </w:t>
      </w:r>
      <w:r>
        <w:rPr>
          <w:rFonts w:ascii="Times New Roman" w:eastAsia="Times New Roman" w:hAnsi="Times New Roman" w:cs="Times New Roman"/>
          <w:u w:val="single" w:color="000000"/>
        </w:rPr>
        <w:t>are issued prior to April 01, 2014, involving offer / allotment of securities to more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than 49 but up to 200 investors in a financial year.</w:t>
      </w:r>
      <w:r>
        <w:rPr>
          <w:rFonts w:ascii="Times New Roman" w:eastAsia="Times New Roman" w:hAnsi="Times New Roman" w:cs="Times New Roman"/>
        </w:rPr>
        <w:t xml:space="preserve">   </w:t>
      </w:r>
    </w:p>
    <w:p w:rsidR="00936919" w:rsidRDefault="00936919" w:rsidP="00936919">
      <w:pPr>
        <w:spacing w:after="152" w:line="358" w:lineRule="auto"/>
        <w:ind w:left="-5" w:hanging="10"/>
      </w:pPr>
      <w:r>
        <w:rPr>
          <w:rFonts w:ascii="Times New Roman" w:eastAsia="Times New Roman" w:hAnsi="Times New Roman" w:cs="Times New Roman"/>
        </w:rPr>
        <w:t xml:space="preserve">Ref: Circular No. CIR/CFD/DIL3/18/2015 dated December 31, 2015 and Circular No. CFD/DIL3/CIR/ P/2016/53 dated May 03, 2016. </w:t>
      </w:r>
    </w:p>
    <w:p w:rsidR="00936919" w:rsidRDefault="00936919" w:rsidP="00936919">
      <w:pPr>
        <w:widowControl/>
        <w:numPr>
          <w:ilvl w:val="0"/>
          <w:numId w:val="27"/>
        </w:numPr>
        <w:autoSpaceDE/>
        <w:autoSpaceDN/>
        <w:spacing w:line="359" w:lineRule="auto"/>
        <w:ind w:right="45" w:hanging="338"/>
        <w:jc w:val="both"/>
      </w:pPr>
      <w:r>
        <w:t xml:space="preserve">In exercise of the powers conferred under Section 11(1) of the Securities and Exchange Board of India Act, 1992, SEBI had issued Circular No. CIR/CFD/DIL3/18/2015 dated December 31, 2015 and Circular No. CFD/DIL3/CIR/ P/2016/53 dated May 03, 2016, stating that in respect of cases under the Companies Act, 1956, involving issuance of securities to more than 49 persons but up to 200 persons in a financial year, the companies may avoid penal action if they provide the investors with an option to surrender the securities and receive the refund amount at a price not less than the amount of subscription money paid along with 15% interest p.a. thereon or such higher return as promised to the investors. This opportunity to avoid penal action was provided to the issuer companies considering the higher cap for private placement provided in the Companies Act, 2013. </w:t>
      </w:r>
    </w:p>
    <w:p w:rsidR="00936919" w:rsidRDefault="00936919" w:rsidP="00936919">
      <w:pPr>
        <w:spacing w:after="117" w:line="259" w:lineRule="auto"/>
        <w:ind w:left="338"/>
      </w:pPr>
      <w:r>
        <w:t xml:space="preserve"> </w:t>
      </w:r>
    </w:p>
    <w:p w:rsidR="00936919" w:rsidRDefault="00936919" w:rsidP="00936919">
      <w:pPr>
        <w:widowControl/>
        <w:numPr>
          <w:ilvl w:val="0"/>
          <w:numId w:val="27"/>
        </w:numPr>
        <w:autoSpaceDE/>
        <w:autoSpaceDN/>
        <w:spacing w:after="213" w:line="359" w:lineRule="auto"/>
        <w:ind w:right="45" w:hanging="338"/>
        <w:jc w:val="both"/>
      </w:pPr>
      <w:r>
        <w:lastRenderedPageBreak/>
        <w:t>Given that considerable time has elapsed since the repeal of the Companies Act, 1956, in exercise of the powers conferred under Section 11(1) of the Securities and Exchange Board of India Act, 1992 to protect the interests of investors in securities and to promote the development of, and to regulate the</w:t>
      </w:r>
      <w:r>
        <w:t xml:space="preserve"> securities markets, it has now</w:t>
      </w:r>
      <w:r w:rsidRPr="00936919">
        <w:rPr>
          <w:rFonts w:ascii="Times New Roman" w:eastAsia="Times New Roman" w:hAnsi="Times New Roman" w:cs="Times New Roman"/>
          <w:sz w:val="21"/>
        </w:rPr>
        <w:t xml:space="preserve"> </w:t>
      </w:r>
      <w:r>
        <w:t xml:space="preserve">been decided to repeal the aforesaid circulars and the same shall stand rescinded with effect from 6 months from the date of issue of this circular, without prejudice to the operation of anything done or any action taken under the said circulars.  </w:t>
      </w:r>
      <w:bookmarkStart w:id="0" w:name="_GoBack"/>
      <w:bookmarkEnd w:id="0"/>
      <w:r>
        <w:t xml:space="preserve"> </w:t>
      </w:r>
    </w:p>
    <w:p w:rsidR="00936919" w:rsidRDefault="00936919" w:rsidP="00936919">
      <w:pPr>
        <w:widowControl/>
        <w:numPr>
          <w:ilvl w:val="0"/>
          <w:numId w:val="27"/>
        </w:numPr>
        <w:autoSpaceDE/>
        <w:autoSpaceDN/>
        <w:spacing w:after="154" w:line="359" w:lineRule="auto"/>
        <w:ind w:right="45" w:hanging="338"/>
        <w:jc w:val="both"/>
      </w:pPr>
      <w:r>
        <w:t xml:space="preserve">The above said option shall be available under the circular only to those companies who have completed the entire procedure and submitted the certificate in terms of circular No. CIR/CFD/DIL3/18/2015 dated December 31, 2015 and Circular No. CFD/DIL3/CIR/P/2016/53/dated May 03, 2016, within 6 months from the date of issue of this circular. </w:t>
      </w:r>
    </w:p>
    <w:p w:rsidR="00936919" w:rsidRDefault="00936919" w:rsidP="00936919">
      <w:pPr>
        <w:widowControl/>
        <w:numPr>
          <w:ilvl w:val="0"/>
          <w:numId w:val="27"/>
        </w:numPr>
        <w:autoSpaceDE/>
        <w:autoSpaceDN/>
        <w:spacing w:after="154" w:line="359" w:lineRule="auto"/>
        <w:ind w:right="45" w:hanging="338"/>
        <w:jc w:val="both"/>
      </w:pPr>
      <w:r>
        <w:t xml:space="preserve">Accordingly, all cases involving an offer or allotment of securities to more than the permissible number of investors in a financial year shall be dealt with in line with the provisions contained under the extant applicable laws. </w:t>
      </w:r>
    </w:p>
    <w:p w:rsidR="00936919" w:rsidRDefault="00936919" w:rsidP="00936919">
      <w:pPr>
        <w:widowControl/>
        <w:numPr>
          <w:ilvl w:val="0"/>
          <w:numId w:val="27"/>
        </w:numPr>
        <w:autoSpaceDE/>
        <w:autoSpaceDN/>
        <w:spacing w:after="154" w:line="359" w:lineRule="auto"/>
        <w:ind w:right="45" w:hanging="338"/>
        <w:jc w:val="both"/>
      </w:pPr>
      <w:r>
        <w:t xml:space="preserve">The Stock Exchanges are advised to bring the provisions of this circular to the notice of listed entities and also to disseminate the same on their websites. </w:t>
      </w:r>
    </w:p>
    <w:p w:rsidR="00936919" w:rsidRDefault="00936919" w:rsidP="00936919">
      <w:pPr>
        <w:widowControl/>
        <w:numPr>
          <w:ilvl w:val="0"/>
          <w:numId w:val="27"/>
        </w:numPr>
        <w:autoSpaceDE/>
        <w:autoSpaceDN/>
        <w:spacing w:after="154" w:line="359" w:lineRule="auto"/>
        <w:ind w:right="45" w:hanging="338"/>
        <w:jc w:val="both"/>
      </w:pPr>
      <w:r>
        <w:t xml:space="preserve">A copy of this circular is available on SEBI website at www.sebi.gov.in under the categories “Legal Framework → Circulars”. </w:t>
      </w:r>
    </w:p>
    <w:p w:rsidR="00936919" w:rsidRDefault="00936919" w:rsidP="00936919">
      <w:pPr>
        <w:spacing w:after="256" w:line="259" w:lineRule="auto"/>
      </w:pPr>
      <w:r>
        <w:t xml:space="preserve"> </w:t>
      </w:r>
    </w:p>
    <w:p w:rsidR="00936919" w:rsidRDefault="00936919" w:rsidP="00936919">
      <w:pPr>
        <w:spacing w:after="107" w:line="259" w:lineRule="auto"/>
        <w:ind w:right="60"/>
        <w:jc w:val="right"/>
      </w:pPr>
      <w:r>
        <w:t xml:space="preserve">Yours faithfully, </w:t>
      </w:r>
    </w:p>
    <w:p w:rsidR="00936919" w:rsidRDefault="00936919" w:rsidP="00936919">
      <w:pPr>
        <w:spacing w:after="225" w:line="259" w:lineRule="auto"/>
        <w:jc w:val="right"/>
      </w:pPr>
      <w:r>
        <w:t xml:space="preserve"> </w:t>
      </w:r>
    </w:p>
    <w:p w:rsidR="00936919" w:rsidRDefault="00936919" w:rsidP="00936919">
      <w:pPr>
        <w:spacing w:after="111" w:line="259" w:lineRule="auto"/>
        <w:ind w:left="10" w:right="46" w:hanging="10"/>
        <w:jc w:val="right"/>
      </w:pPr>
      <w:r>
        <w:rPr>
          <w:rFonts w:ascii="Times New Roman" w:eastAsia="Times New Roman" w:hAnsi="Times New Roman" w:cs="Times New Roman"/>
        </w:rPr>
        <w:t xml:space="preserve">Yogita Jadhav </w:t>
      </w:r>
    </w:p>
    <w:p w:rsidR="00936919" w:rsidRDefault="00936919" w:rsidP="00936919">
      <w:pPr>
        <w:spacing w:after="111" w:line="259" w:lineRule="auto"/>
        <w:ind w:left="10" w:right="46" w:hanging="10"/>
        <w:jc w:val="right"/>
      </w:pPr>
      <w:r>
        <w:rPr>
          <w:rFonts w:ascii="Times New Roman" w:eastAsia="Times New Roman" w:hAnsi="Times New Roman" w:cs="Times New Roman"/>
        </w:rPr>
        <w:t xml:space="preserve">General Manager </w:t>
      </w:r>
    </w:p>
    <w:p w:rsidR="00936919" w:rsidRDefault="00936919" w:rsidP="00936919">
      <w:pPr>
        <w:spacing w:after="111" w:line="259" w:lineRule="auto"/>
        <w:ind w:left="10" w:right="46" w:hanging="10"/>
        <w:jc w:val="right"/>
      </w:pPr>
      <w:r>
        <w:rPr>
          <w:rFonts w:ascii="Times New Roman" w:eastAsia="Times New Roman" w:hAnsi="Times New Roman" w:cs="Times New Roman"/>
        </w:rPr>
        <w:t xml:space="preserve">Corporation Finance Department </w:t>
      </w:r>
    </w:p>
    <w:p w:rsidR="00936919" w:rsidRDefault="00936919" w:rsidP="00936919">
      <w:pPr>
        <w:spacing w:after="111" w:line="259" w:lineRule="auto"/>
        <w:ind w:left="10" w:right="46" w:hanging="10"/>
        <w:jc w:val="right"/>
      </w:pPr>
      <w:r>
        <w:rPr>
          <w:rFonts w:ascii="Times New Roman" w:eastAsia="Times New Roman" w:hAnsi="Times New Roman" w:cs="Times New Roman"/>
        </w:rPr>
        <w:t xml:space="preserve">+91 22 2644 9583 </w:t>
      </w:r>
    </w:p>
    <w:p w:rsidR="00936919" w:rsidRDefault="00936919" w:rsidP="00936919">
      <w:pPr>
        <w:spacing w:after="112" w:line="259" w:lineRule="auto"/>
        <w:ind w:right="57"/>
        <w:jc w:val="right"/>
      </w:pPr>
      <w:r>
        <w:rPr>
          <w:rFonts w:ascii="Times New Roman" w:eastAsia="Times New Roman" w:hAnsi="Times New Roman" w:cs="Times New Roman"/>
        </w:rPr>
        <w:t xml:space="preserve">Email - </w:t>
      </w:r>
      <w:r>
        <w:rPr>
          <w:rFonts w:ascii="Times New Roman" w:eastAsia="Times New Roman" w:hAnsi="Times New Roman" w:cs="Times New Roman"/>
          <w:color w:val="0000FF"/>
          <w:u w:val="single" w:color="0000FF"/>
        </w:rPr>
        <w:t>yogitag@sebi.gov.in</w:t>
      </w:r>
      <w:r>
        <w:rPr>
          <w:rFonts w:ascii="Times New Roman" w:eastAsia="Times New Roman" w:hAnsi="Times New Roman" w:cs="Times New Roman"/>
          <w:color w:val="0000FF"/>
        </w:rPr>
        <w:t xml:space="preserve"> </w:t>
      </w:r>
    </w:p>
    <w:p w:rsidR="00CC4970" w:rsidRDefault="00CC4970" w:rsidP="00D215C1">
      <w:pPr>
        <w:spacing w:after="22" w:line="259" w:lineRule="auto"/>
        <w:rPr>
          <w:b/>
        </w:rPr>
      </w:pPr>
    </w:p>
    <w:p w:rsidR="00C14DE7" w:rsidRDefault="00C14DE7" w:rsidP="00D215C1">
      <w:pPr>
        <w:spacing w:after="22" w:line="259" w:lineRule="auto"/>
        <w:rPr>
          <w:b/>
        </w:rPr>
      </w:pPr>
    </w:p>
    <w:p w:rsidR="0025700A" w:rsidRPr="00D215C1" w:rsidRDefault="00205C55" w:rsidP="00D215C1">
      <w:pPr>
        <w:spacing w:after="22" w:line="259" w:lineRule="auto"/>
      </w:pPr>
      <w:r>
        <w:rPr>
          <w:b/>
        </w:rPr>
        <w:t>Unquote: -</w:t>
      </w:r>
    </w:p>
    <w:p w:rsidR="0025700A" w:rsidRPr="00D215C1" w:rsidRDefault="00205C55">
      <w:pPr>
        <w:pStyle w:val="Default"/>
        <w:jc w:val="both"/>
        <w:rPr>
          <w:sz w:val="22"/>
          <w:szCs w:val="22"/>
        </w:rPr>
      </w:pPr>
      <w:r w:rsidRPr="00D215C1">
        <w:rPr>
          <w:sz w:val="22"/>
          <w:szCs w:val="22"/>
        </w:rPr>
        <w:t>All Entities are requested to take note of the aforesaid guidelines of SEBI and act accordingly.</w:t>
      </w:r>
    </w:p>
    <w:p w:rsidR="0025700A" w:rsidRPr="00D215C1" w:rsidRDefault="0025700A">
      <w:pPr>
        <w:pStyle w:val="Default"/>
        <w:rPr>
          <w:sz w:val="22"/>
          <w:szCs w:val="22"/>
        </w:rPr>
      </w:pPr>
    </w:p>
    <w:p w:rsidR="00C14DE7" w:rsidRDefault="00C14DE7">
      <w:pPr>
        <w:pStyle w:val="Default"/>
        <w:tabs>
          <w:tab w:val="left" w:pos="8550"/>
        </w:tabs>
        <w:spacing w:line="360" w:lineRule="auto"/>
        <w:rPr>
          <w:rFonts w:ascii="Times New Roman" w:hAnsi="Times New Roman" w:cs="Times New Roman"/>
          <w:bCs/>
          <w:sz w:val="22"/>
          <w:szCs w:val="22"/>
          <w:lang w:val="en-IN"/>
        </w:rPr>
      </w:pPr>
    </w:p>
    <w:p w:rsidR="0025700A" w:rsidRPr="00D215C1" w:rsidRDefault="00205C55">
      <w:pPr>
        <w:pStyle w:val="Default"/>
        <w:tabs>
          <w:tab w:val="left" w:pos="8550"/>
        </w:tabs>
        <w:spacing w:line="360" w:lineRule="auto"/>
        <w:rPr>
          <w:rFonts w:ascii="Times New Roman" w:hAnsi="Times New Roman" w:cs="Times New Roman"/>
          <w:bCs/>
          <w:sz w:val="22"/>
          <w:szCs w:val="22"/>
        </w:rPr>
      </w:pPr>
      <w:r w:rsidRPr="00D215C1">
        <w:rPr>
          <w:rFonts w:ascii="Times New Roman" w:hAnsi="Times New Roman" w:cs="Times New Roman"/>
          <w:bCs/>
          <w:sz w:val="22"/>
          <w:szCs w:val="22"/>
          <w:lang w:val="en-IN"/>
        </w:rPr>
        <w:t>Chandrani Datta</w:t>
      </w:r>
      <w:r w:rsidRPr="00D215C1">
        <w:rPr>
          <w:rFonts w:ascii="Times New Roman" w:hAnsi="Times New Roman" w:cs="Times New Roman"/>
          <w:bCs/>
          <w:sz w:val="22"/>
          <w:szCs w:val="22"/>
        </w:rPr>
        <w:tab/>
      </w:r>
    </w:p>
    <w:p w:rsidR="0025700A" w:rsidRPr="00D215C1" w:rsidRDefault="00205C55">
      <w:pPr>
        <w:rPr>
          <w:rFonts w:ascii="Times New Roman" w:hAnsi="Times New Roman" w:cs="Times New Roman"/>
          <w:lang w:val="en-IN"/>
        </w:rPr>
      </w:pPr>
      <w:r w:rsidRPr="00D215C1">
        <w:rPr>
          <w:rFonts w:ascii="Times New Roman" w:hAnsi="Times New Roman" w:cs="Times New Roman"/>
          <w:bCs/>
          <w:lang w:val="en-IN"/>
        </w:rPr>
        <w:t>Company Secretary</w:t>
      </w:r>
    </w:p>
    <w:p w:rsidR="0025700A" w:rsidRPr="00D215C1" w:rsidRDefault="0025700A"/>
    <w:sectPr w:rsidR="0025700A" w:rsidRPr="00D215C1">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AA" w:rsidRDefault="006A3FAA">
      <w:r>
        <w:separator/>
      </w:r>
    </w:p>
  </w:endnote>
  <w:endnote w:type="continuationSeparator" w:id="0">
    <w:p w:rsidR="006A3FAA" w:rsidRDefault="006A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AA" w:rsidRDefault="006A3FAA">
      <w:r>
        <w:separator/>
      </w:r>
    </w:p>
  </w:footnote>
  <w:footnote w:type="continuationSeparator" w:id="0">
    <w:p w:rsidR="006A3FAA" w:rsidRDefault="006A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E72"/>
    <w:multiLevelType w:val="multilevel"/>
    <w:tmpl w:val="DDC426A4"/>
    <w:lvl w:ilvl="0">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25B0A"/>
    <w:multiLevelType w:val="hybridMultilevel"/>
    <w:tmpl w:val="B5D89206"/>
    <w:lvl w:ilvl="0" w:tplc="6FB045D8">
      <w:start w:val="1"/>
      <w:numFmt w:val="lowerLetter"/>
      <w:lvlText w:val="%1)"/>
      <w:lvlJc w:val="left"/>
      <w:pPr>
        <w:ind w:left="101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B20E204">
      <w:start w:val="1"/>
      <w:numFmt w:val="lowerLetter"/>
      <w:lvlText w:val="%2"/>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9A8E6EE">
      <w:start w:val="1"/>
      <w:numFmt w:val="lowerRoman"/>
      <w:lvlText w:val="%3"/>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EBA4A9E">
      <w:start w:val="1"/>
      <w:numFmt w:val="decimal"/>
      <w:lvlText w:val="%4"/>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E863FB4">
      <w:start w:val="1"/>
      <w:numFmt w:val="lowerLetter"/>
      <w:lvlText w:val="%5"/>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6D67936">
      <w:start w:val="1"/>
      <w:numFmt w:val="lowerRoman"/>
      <w:lvlText w:val="%6"/>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072A8C6">
      <w:start w:val="1"/>
      <w:numFmt w:val="decimal"/>
      <w:lvlText w:val="%7"/>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AB8D4F8">
      <w:start w:val="1"/>
      <w:numFmt w:val="lowerLetter"/>
      <w:lvlText w:val="%8"/>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7EDCC6">
      <w:start w:val="1"/>
      <w:numFmt w:val="lowerRoman"/>
      <w:lvlText w:val="%9"/>
      <w:lvlJc w:val="left"/>
      <w:pPr>
        <w:ind w:left="68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8352A"/>
    <w:multiLevelType w:val="hybridMultilevel"/>
    <w:tmpl w:val="936AE4A8"/>
    <w:lvl w:ilvl="0" w:tplc="951A90F8">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BAAE48A">
      <w:start w:val="1"/>
      <w:numFmt w:val="lowerRoman"/>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E0AE920">
      <w:start w:val="1"/>
      <w:numFmt w:val="lowerRoman"/>
      <w:lvlText w:val="%3"/>
      <w:lvlJc w:val="left"/>
      <w:pPr>
        <w:ind w:left="20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77619B8">
      <w:start w:val="1"/>
      <w:numFmt w:val="decimal"/>
      <w:lvlText w:val="%4"/>
      <w:lvlJc w:val="left"/>
      <w:pPr>
        <w:ind w:left="27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36CAA0">
      <w:start w:val="1"/>
      <w:numFmt w:val="lowerLetter"/>
      <w:lvlText w:val="%5"/>
      <w:lvlJc w:val="left"/>
      <w:pPr>
        <w:ind w:left="34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56CC8D2">
      <w:start w:val="1"/>
      <w:numFmt w:val="lowerRoman"/>
      <w:lvlText w:val="%6"/>
      <w:lvlJc w:val="left"/>
      <w:pPr>
        <w:ind w:left="41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7A2191A">
      <w:start w:val="1"/>
      <w:numFmt w:val="decimal"/>
      <w:lvlText w:val="%7"/>
      <w:lvlJc w:val="left"/>
      <w:pPr>
        <w:ind w:left="48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C0CAE3A">
      <w:start w:val="1"/>
      <w:numFmt w:val="lowerLetter"/>
      <w:lvlText w:val="%8"/>
      <w:lvlJc w:val="left"/>
      <w:pPr>
        <w:ind w:left="56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3B2BB90">
      <w:start w:val="1"/>
      <w:numFmt w:val="lowerRoman"/>
      <w:lvlText w:val="%9"/>
      <w:lvlJc w:val="left"/>
      <w:pPr>
        <w:ind w:left="63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02341FE"/>
    <w:multiLevelType w:val="hybridMultilevel"/>
    <w:tmpl w:val="C6E619D0"/>
    <w:lvl w:ilvl="0" w:tplc="9A3691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EC197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A69A9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2EE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A724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0A9A9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B6EA5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221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B6A0E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85793"/>
    <w:multiLevelType w:val="hybridMultilevel"/>
    <w:tmpl w:val="C11E3E9A"/>
    <w:lvl w:ilvl="0" w:tplc="1EACF84E">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023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4CDF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850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AE1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36CD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569F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45D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3435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11D02"/>
    <w:multiLevelType w:val="hybridMultilevel"/>
    <w:tmpl w:val="FFFC2C2C"/>
    <w:lvl w:ilvl="0" w:tplc="04323EF8">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2808E2">
      <w:start w:val="1"/>
      <w:numFmt w:val="lowerRoman"/>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E7F06">
      <w:start w:val="1"/>
      <w:numFmt w:val="lowerRoman"/>
      <w:lvlText w:val="%3"/>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14765E">
      <w:start w:val="1"/>
      <w:numFmt w:val="decimal"/>
      <w:lvlText w:val="%4"/>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8C70C6">
      <w:start w:val="1"/>
      <w:numFmt w:val="lowerLetter"/>
      <w:lvlText w:val="%5"/>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8726E">
      <w:start w:val="1"/>
      <w:numFmt w:val="lowerRoman"/>
      <w:lvlText w:val="%6"/>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0C8FD6">
      <w:start w:val="1"/>
      <w:numFmt w:val="decimal"/>
      <w:lvlText w:val="%7"/>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61F82">
      <w:start w:val="1"/>
      <w:numFmt w:val="lowerLetter"/>
      <w:lvlText w:val="%8"/>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84973E">
      <w:start w:val="1"/>
      <w:numFmt w:val="lowerRoman"/>
      <w:lvlText w:val="%9"/>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9231FE"/>
    <w:multiLevelType w:val="hybridMultilevel"/>
    <w:tmpl w:val="1FBCB152"/>
    <w:lvl w:ilvl="0" w:tplc="37F8AE70">
      <w:start w:val="4"/>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45960">
      <w:start w:val="1"/>
      <w:numFmt w:val="lowerLetter"/>
      <w:lvlText w:val="%2"/>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88902">
      <w:start w:val="1"/>
      <w:numFmt w:val="lowerRoman"/>
      <w:lvlText w:val="%3"/>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08DD4">
      <w:start w:val="1"/>
      <w:numFmt w:val="decimal"/>
      <w:lvlText w:val="%4"/>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6804A">
      <w:start w:val="1"/>
      <w:numFmt w:val="lowerLetter"/>
      <w:lvlText w:val="%5"/>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9A245A">
      <w:start w:val="1"/>
      <w:numFmt w:val="lowerRoman"/>
      <w:lvlText w:val="%6"/>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28380">
      <w:start w:val="1"/>
      <w:numFmt w:val="decimal"/>
      <w:lvlText w:val="%7"/>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20CF9A">
      <w:start w:val="1"/>
      <w:numFmt w:val="lowerLetter"/>
      <w:lvlText w:val="%8"/>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FE3A0E">
      <w:start w:val="1"/>
      <w:numFmt w:val="lowerRoman"/>
      <w:lvlText w:val="%9"/>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6740C8"/>
    <w:multiLevelType w:val="hybridMultilevel"/>
    <w:tmpl w:val="0922CC84"/>
    <w:lvl w:ilvl="0" w:tplc="933E28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8B7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1CDD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26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ED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8A3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9A79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4C7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1613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696958"/>
    <w:multiLevelType w:val="hybridMultilevel"/>
    <w:tmpl w:val="66E0FEF8"/>
    <w:lvl w:ilvl="0" w:tplc="3436774C">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891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BA2F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2C37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291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DCE1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B03E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64C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4E0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DF14DC"/>
    <w:multiLevelType w:val="hybridMultilevel"/>
    <w:tmpl w:val="E79842F2"/>
    <w:lvl w:ilvl="0" w:tplc="A07C5030">
      <w:start w:val="2"/>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EB67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AE87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F4795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6B08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9210D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923B0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EBDD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98470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B7E46D"/>
    <w:multiLevelType w:val="multilevel"/>
    <w:tmpl w:val="25B7E46D"/>
    <w:lvl w:ilvl="0">
      <w:start w:val="1"/>
      <w:numFmt w:val="decimal"/>
      <w:lvlText w:val="%1."/>
      <w:lvlJc w:val="left"/>
      <w:pPr>
        <w:ind w:left="360" w:firstLine="0"/>
        <w:textAlignment w:val="baseline"/>
      </w:pPr>
      <w:rPr>
        <w:rFonts w:ascii="Arial" w:eastAsia="Arial" w:hAnsi="Arial" w:cs="Arial"/>
        <w:b w:val="0"/>
        <w:i w:val="0"/>
        <w:strike w:val="0"/>
        <w:dstrike w:val="0"/>
        <w:color w:val="000000"/>
        <w:sz w:val="22"/>
        <w:szCs w:val="22"/>
        <w:u w:val="none" w:color="000000"/>
      </w:rPr>
    </w:lvl>
    <w:lvl w:ilvl="1">
      <w:start w:val="1"/>
      <w:numFmt w:val="lowerLetter"/>
      <w:lvlText w:val="%2"/>
      <w:lvlJc w:val="left"/>
      <w:pPr>
        <w:ind w:left="1080" w:firstLine="0"/>
        <w:textAlignment w:val="baseline"/>
      </w:pPr>
      <w:rPr>
        <w:rFonts w:ascii="Arial" w:eastAsia="Arial" w:hAnsi="Arial" w:cs="Arial"/>
        <w:b w:val="0"/>
        <w:i w:val="0"/>
        <w:strike w:val="0"/>
        <w:dstrike w:val="0"/>
        <w:color w:val="000000"/>
        <w:sz w:val="22"/>
        <w:szCs w:val="22"/>
        <w:u w:val="none" w:color="000000"/>
      </w:rPr>
    </w:lvl>
    <w:lvl w:ilvl="2">
      <w:start w:val="1"/>
      <w:numFmt w:val="lowerRoman"/>
      <w:lvlText w:val="%3"/>
      <w:lvlJc w:val="left"/>
      <w:pPr>
        <w:ind w:left="1800" w:firstLine="0"/>
        <w:textAlignment w:val="baseline"/>
      </w:pPr>
      <w:rPr>
        <w:rFonts w:ascii="Arial" w:eastAsia="Arial" w:hAnsi="Arial" w:cs="Arial"/>
        <w:b w:val="0"/>
        <w:i w:val="0"/>
        <w:strike w:val="0"/>
        <w:dstrike w:val="0"/>
        <w:color w:val="000000"/>
        <w:sz w:val="22"/>
        <w:szCs w:val="22"/>
        <w:u w:val="none" w:color="000000"/>
      </w:rPr>
    </w:lvl>
    <w:lvl w:ilvl="3">
      <w:start w:val="1"/>
      <w:numFmt w:val="decimal"/>
      <w:lvlText w:val="%4"/>
      <w:lvlJc w:val="left"/>
      <w:pPr>
        <w:ind w:left="2520" w:firstLine="0"/>
        <w:textAlignment w:val="baseline"/>
      </w:pPr>
      <w:rPr>
        <w:rFonts w:ascii="Arial" w:eastAsia="Arial" w:hAnsi="Arial" w:cs="Arial"/>
        <w:b w:val="0"/>
        <w:i w:val="0"/>
        <w:strike w:val="0"/>
        <w:dstrike w:val="0"/>
        <w:color w:val="000000"/>
        <w:sz w:val="22"/>
        <w:szCs w:val="22"/>
        <w:u w:val="none" w:color="000000"/>
      </w:rPr>
    </w:lvl>
    <w:lvl w:ilvl="4">
      <w:start w:val="1"/>
      <w:numFmt w:val="lowerLetter"/>
      <w:lvlText w:val="%5"/>
      <w:lvlJc w:val="left"/>
      <w:pPr>
        <w:ind w:left="3240" w:firstLine="0"/>
        <w:textAlignment w:val="baseline"/>
      </w:pPr>
      <w:rPr>
        <w:rFonts w:ascii="Arial" w:eastAsia="Arial" w:hAnsi="Arial" w:cs="Arial"/>
        <w:b w:val="0"/>
        <w:i w:val="0"/>
        <w:strike w:val="0"/>
        <w:dstrike w:val="0"/>
        <w:color w:val="000000"/>
        <w:sz w:val="22"/>
        <w:szCs w:val="22"/>
        <w:u w:val="none" w:color="000000"/>
      </w:rPr>
    </w:lvl>
    <w:lvl w:ilvl="5">
      <w:start w:val="1"/>
      <w:numFmt w:val="lowerRoman"/>
      <w:lvlText w:val="%6"/>
      <w:lvlJc w:val="left"/>
      <w:pPr>
        <w:ind w:left="3960" w:firstLine="0"/>
        <w:textAlignment w:val="baseline"/>
      </w:pPr>
      <w:rPr>
        <w:rFonts w:ascii="Arial" w:eastAsia="Arial" w:hAnsi="Arial" w:cs="Arial"/>
        <w:b w:val="0"/>
        <w:i w:val="0"/>
        <w:strike w:val="0"/>
        <w:dstrike w:val="0"/>
        <w:color w:val="000000"/>
        <w:sz w:val="22"/>
        <w:szCs w:val="22"/>
        <w:u w:val="none" w:color="000000"/>
      </w:rPr>
    </w:lvl>
    <w:lvl w:ilvl="6">
      <w:start w:val="1"/>
      <w:numFmt w:val="decimal"/>
      <w:lvlText w:val="%7"/>
      <w:lvlJc w:val="left"/>
      <w:pPr>
        <w:ind w:left="4680" w:firstLine="0"/>
        <w:textAlignment w:val="baseline"/>
      </w:pPr>
      <w:rPr>
        <w:rFonts w:ascii="Arial" w:eastAsia="Arial" w:hAnsi="Arial" w:cs="Arial"/>
        <w:b w:val="0"/>
        <w:i w:val="0"/>
        <w:strike w:val="0"/>
        <w:dstrike w:val="0"/>
        <w:color w:val="000000"/>
        <w:sz w:val="22"/>
        <w:szCs w:val="22"/>
        <w:u w:val="none" w:color="000000"/>
      </w:rPr>
    </w:lvl>
    <w:lvl w:ilvl="7">
      <w:start w:val="1"/>
      <w:numFmt w:val="lowerLetter"/>
      <w:lvlText w:val="%8"/>
      <w:lvlJc w:val="left"/>
      <w:pPr>
        <w:ind w:left="5400" w:firstLine="0"/>
        <w:textAlignment w:val="baseline"/>
      </w:pPr>
      <w:rPr>
        <w:rFonts w:ascii="Arial" w:eastAsia="Arial" w:hAnsi="Arial" w:cs="Arial"/>
        <w:b w:val="0"/>
        <w:i w:val="0"/>
        <w:strike w:val="0"/>
        <w:dstrike w:val="0"/>
        <w:color w:val="000000"/>
        <w:sz w:val="22"/>
        <w:szCs w:val="22"/>
        <w:u w:val="none" w:color="000000"/>
      </w:rPr>
    </w:lvl>
    <w:lvl w:ilvl="8">
      <w:start w:val="1"/>
      <w:numFmt w:val="lowerRoman"/>
      <w:lvlText w:val="%9"/>
      <w:lvlJc w:val="left"/>
      <w:pPr>
        <w:ind w:left="6120" w:firstLine="0"/>
        <w:textAlignment w:val="baseline"/>
      </w:pPr>
      <w:rPr>
        <w:rFonts w:ascii="Arial" w:eastAsia="Arial" w:hAnsi="Arial" w:cs="Arial"/>
        <w:b w:val="0"/>
        <w:i w:val="0"/>
        <w:strike w:val="0"/>
        <w:dstrike w:val="0"/>
        <w:color w:val="000000"/>
        <w:sz w:val="22"/>
        <w:szCs w:val="22"/>
        <w:u w:val="none" w:color="000000"/>
      </w:rPr>
    </w:lvl>
  </w:abstractNum>
  <w:abstractNum w:abstractNumId="11" w15:restartNumberingAfterBreak="0">
    <w:nsid w:val="30E62A02"/>
    <w:multiLevelType w:val="hybridMultilevel"/>
    <w:tmpl w:val="8E9C69BA"/>
    <w:lvl w:ilvl="0" w:tplc="963269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85E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4424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04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EF4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F03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2EF8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495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3CC1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D1305C"/>
    <w:multiLevelType w:val="hybridMultilevel"/>
    <w:tmpl w:val="FD82099E"/>
    <w:lvl w:ilvl="0" w:tplc="751AC4BE">
      <w:start w:val="1"/>
      <w:numFmt w:val="lowerRoman"/>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E02C8">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0A344">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69782">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CE222">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2A943E">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6A277C">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B20148">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692E6">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840EAE"/>
    <w:multiLevelType w:val="hybridMultilevel"/>
    <w:tmpl w:val="BAA84080"/>
    <w:lvl w:ilvl="0" w:tplc="C78A7DDE">
      <w:start w:val="1"/>
      <w:numFmt w:val="lowerRoman"/>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24C96">
      <w:start w:val="1"/>
      <w:numFmt w:val="lowerLetter"/>
      <w:lvlText w:val="%2"/>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A0A75E">
      <w:start w:val="1"/>
      <w:numFmt w:val="lowerRoman"/>
      <w:lvlText w:val="%3"/>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7059BA">
      <w:start w:val="1"/>
      <w:numFmt w:val="decimal"/>
      <w:lvlText w:val="%4"/>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A228A">
      <w:start w:val="1"/>
      <w:numFmt w:val="lowerLetter"/>
      <w:lvlText w:val="%5"/>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3A1B08">
      <w:start w:val="1"/>
      <w:numFmt w:val="lowerRoman"/>
      <w:lvlText w:val="%6"/>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49952">
      <w:start w:val="1"/>
      <w:numFmt w:val="decimal"/>
      <w:lvlText w:val="%7"/>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0600C">
      <w:start w:val="1"/>
      <w:numFmt w:val="lowerLetter"/>
      <w:lvlText w:val="%8"/>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661952">
      <w:start w:val="1"/>
      <w:numFmt w:val="lowerRoman"/>
      <w:lvlText w:val="%9"/>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B4131D"/>
    <w:multiLevelType w:val="hybridMultilevel"/>
    <w:tmpl w:val="C5E437CE"/>
    <w:lvl w:ilvl="0" w:tplc="69008F70">
      <w:start w:val="7"/>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F85B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885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0A37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405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85C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E20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0F9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2E3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672DEF"/>
    <w:multiLevelType w:val="multilevel"/>
    <w:tmpl w:val="CF70AFC0"/>
    <w:lvl w:ilvl="0">
      <w:start w:val="1"/>
      <w:numFmt w:val="decimal"/>
      <w:lvlText w:val="%1."/>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04695"/>
    <w:multiLevelType w:val="hybridMultilevel"/>
    <w:tmpl w:val="19CC1B24"/>
    <w:lvl w:ilvl="0" w:tplc="83F262F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4491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20B92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D8BE3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C8A6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284E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A2F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4663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D0EA1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E44F5F"/>
    <w:multiLevelType w:val="hybridMultilevel"/>
    <w:tmpl w:val="5CB612F8"/>
    <w:lvl w:ilvl="0" w:tplc="F2540F7E">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E8480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28AB2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A8D1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C239F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DCD0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0AA54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AE53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CF686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FA0672B"/>
    <w:multiLevelType w:val="hybridMultilevel"/>
    <w:tmpl w:val="52F85FE2"/>
    <w:lvl w:ilvl="0" w:tplc="E4E6CA8C">
      <w:start w:val="1"/>
      <w:numFmt w:val="lowerRoman"/>
      <w:lvlText w:val="%1."/>
      <w:lvlJc w:val="left"/>
      <w:pPr>
        <w:ind w:left="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CFFF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74D844">
      <w:start w:val="1"/>
      <w:numFmt w:val="lowerRoman"/>
      <w:lvlText w:val="%3"/>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32BAAE">
      <w:start w:val="1"/>
      <w:numFmt w:val="decimal"/>
      <w:lvlText w:val="%4"/>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E8A6">
      <w:start w:val="1"/>
      <w:numFmt w:val="lowerLetter"/>
      <w:lvlText w:val="%5"/>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15C6">
      <w:start w:val="1"/>
      <w:numFmt w:val="lowerRoman"/>
      <w:lvlText w:val="%6"/>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20B3E">
      <w:start w:val="1"/>
      <w:numFmt w:val="decimal"/>
      <w:lvlText w:val="%7"/>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635FE">
      <w:start w:val="1"/>
      <w:numFmt w:val="lowerLetter"/>
      <w:lvlText w:val="%8"/>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B66B46">
      <w:start w:val="1"/>
      <w:numFmt w:val="lowerRoman"/>
      <w:lvlText w:val="%9"/>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591565"/>
    <w:multiLevelType w:val="hybridMultilevel"/>
    <w:tmpl w:val="FEFA5B18"/>
    <w:lvl w:ilvl="0" w:tplc="0DD296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D2C4FE">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10693C">
      <w:start w:val="1"/>
      <w:numFmt w:val="lowerRoman"/>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D0D8D2">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A0B6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EBB1E">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5054A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01BE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246E1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CA5D3E"/>
    <w:multiLevelType w:val="hybridMultilevel"/>
    <w:tmpl w:val="DFC4FD18"/>
    <w:lvl w:ilvl="0" w:tplc="08BEBB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3620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4A9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234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8D1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4F7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147A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98A0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61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5A49DE"/>
    <w:multiLevelType w:val="hybridMultilevel"/>
    <w:tmpl w:val="12D8472A"/>
    <w:lvl w:ilvl="0" w:tplc="7228C4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4601A">
      <w:start w:val="1"/>
      <w:numFmt w:val="lowerRoman"/>
      <w:lvlText w:val="%2."/>
      <w:lvlJc w:val="left"/>
      <w:pPr>
        <w:ind w:left="113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C925E42">
      <w:start w:val="1"/>
      <w:numFmt w:val="lowerRoman"/>
      <w:lvlText w:val="%3"/>
      <w:lvlJc w:val="left"/>
      <w:pPr>
        <w:ind w:left="16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74CC04E">
      <w:start w:val="1"/>
      <w:numFmt w:val="decimal"/>
      <w:lvlText w:val="%4"/>
      <w:lvlJc w:val="left"/>
      <w:pPr>
        <w:ind w:left="23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834D9C8">
      <w:start w:val="1"/>
      <w:numFmt w:val="lowerLetter"/>
      <w:lvlText w:val="%5"/>
      <w:lvlJc w:val="left"/>
      <w:pPr>
        <w:ind w:left="30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7AD48B84">
      <w:start w:val="1"/>
      <w:numFmt w:val="lowerRoman"/>
      <w:lvlText w:val="%6"/>
      <w:lvlJc w:val="left"/>
      <w:pPr>
        <w:ind w:left="37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8622FF2">
      <w:start w:val="1"/>
      <w:numFmt w:val="decimal"/>
      <w:lvlText w:val="%7"/>
      <w:lvlJc w:val="left"/>
      <w:pPr>
        <w:ind w:left="4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384E47E">
      <w:start w:val="1"/>
      <w:numFmt w:val="lowerLetter"/>
      <w:lvlText w:val="%8"/>
      <w:lvlJc w:val="left"/>
      <w:pPr>
        <w:ind w:left="5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6C4256">
      <w:start w:val="1"/>
      <w:numFmt w:val="lowerRoman"/>
      <w:lvlText w:val="%9"/>
      <w:lvlJc w:val="left"/>
      <w:pPr>
        <w:ind w:left="5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08674C"/>
    <w:multiLevelType w:val="hybridMultilevel"/>
    <w:tmpl w:val="3FCA748A"/>
    <w:lvl w:ilvl="0" w:tplc="56B02970">
      <w:start w:val="10"/>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E0D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9ACA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6246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AE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03F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F45B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029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040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D35BE7"/>
    <w:multiLevelType w:val="hybridMultilevel"/>
    <w:tmpl w:val="09EC0ED6"/>
    <w:lvl w:ilvl="0" w:tplc="9418DA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2703C">
      <w:start w:val="1"/>
      <w:numFmt w:val="upperRoman"/>
      <w:lvlText w:val="%2."/>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83CBA">
      <w:start w:val="1"/>
      <w:numFmt w:val="lowerRoman"/>
      <w:lvlText w:val="%3"/>
      <w:lvlJc w:val="left"/>
      <w:pPr>
        <w:ind w:left="1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5655E6">
      <w:start w:val="1"/>
      <w:numFmt w:val="decimal"/>
      <w:lvlText w:val="%4"/>
      <w:lvlJc w:val="left"/>
      <w:pPr>
        <w:ind w:left="1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21166">
      <w:start w:val="1"/>
      <w:numFmt w:val="lowerLetter"/>
      <w:lvlText w:val="%5"/>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3014BC">
      <w:start w:val="1"/>
      <w:numFmt w:val="lowerRoman"/>
      <w:lvlText w:val="%6"/>
      <w:lvlJc w:val="left"/>
      <w:pPr>
        <w:ind w:left="3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8E966">
      <w:start w:val="1"/>
      <w:numFmt w:val="decimal"/>
      <w:lvlText w:val="%7"/>
      <w:lvlJc w:val="left"/>
      <w:pPr>
        <w:ind w:left="4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2E5C50">
      <w:start w:val="1"/>
      <w:numFmt w:val="lowerLetter"/>
      <w:lvlText w:val="%8"/>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FE48C4">
      <w:start w:val="1"/>
      <w:numFmt w:val="lowerRoman"/>
      <w:lvlText w:val="%9"/>
      <w:lvlJc w:val="left"/>
      <w:pPr>
        <w:ind w:left="5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A36609"/>
    <w:multiLevelType w:val="hybridMultilevel"/>
    <w:tmpl w:val="6DEEA112"/>
    <w:lvl w:ilvl="0" w:tplc="D7929724">
      <w:start w:val="3"/>
      <w:numFmt w:val="lowerRoman"/>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E1028">
      <w:start w:val="1"/>
      <w:numFmt w:val="lowerLetter"/>
      <w:lvlText w:val="%2"/>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DAAB84">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F41884">
      <w:start w:val="1"/>
      <w:numFmt w:val="decimal"/>
      <w:lvlText w:val="%4"/>
      <w:lvlJc w:val="left"/>
      <w:pPr>
        <w:ind w:left="2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CE1128">
      <w:start w:val="1"/>
      <w:numFmt w:val="lowerLetter"/>
      <w:lvlText w:val="%5"/>
      <w:lvlJc w:val="left"/>
      <w:pPr>
        <w:ind w:left="3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A28B8">
      <w:start w:val="1"/>
      <w:numFmt w:val="lowerRoman"/>
      <w:lvlText w:val="%6"/>
      <w:lvlJc w:val="left"/>
      <w:pPr>
        <w:ind w:left="3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85810">
      <w:start w:val="1"/>
      <w:numFmt w:val="decimal"/>
      <w:lvlText w:val="%7"/>
      <w:lvlJc w:val="left"/>
      <w:pPr>
        <w:ind w:left="4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C67A0">
      <w:start w:val="1"/>
      <w:numFmt w:val="lowerLetter"/>
      <w:lvlText w:val="%8"/>
      <w:lvlJc w:val="left"/>
      <w:pPr>
        <w:ind w:left="5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CE099E">
      <w:start w:val="1"/>
      <w:numFmt w:val="lowerRoman"/>
      <w:lvlText w:val="%9"/>
      <w:lvlJc w:val="left"/>
      <w:pPr>
        <w:ind w:left="6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F162D1"/>
    <w:multiLevelType w:val="hybridMultilevel"/>
    <w:tmpl w:val="74D240D4"/>
    <w:lvl w:ilvl="0" w:tplc="5D7E4432">
      <w:start w:val="3"/>
      <w:numFmt w:val="lowerLetter"/>
      <w:lvlText w:val="%1)"/>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6B0A2">
      <w:start w:val="1"/>
      <w:numFmt w:val="lowerLetter"/>
      <w:lvlText w:val="%2"/>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0FDD4">
      <w:start w:val="1"/>
      <w:numFmt w:val="lowerRoman"/>
      <w:lvlText w:val="%3"/>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225A6">
      <w:start w:val="1"/>
      <w:numFmt w:val="decimal"/>
      <w:lvlText w:val="%4"/>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88DF6">
      <w:start w:val="1"/>
      <w:numFmt w:val="lowerLetter"/>
      <w:lvlText w:val="%5"/>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6F2">
      <w:start w:val="1"/>
      <w:numFmt w:val="lowerRoman"/>
      <w:lvlText w:val="%6"/>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0B9F6">
      <w:start w:val="1"/>
      <w:numFmt w:val="decimal"/>
      <w:lvlText w:val="%7"/>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2F0C6">
      <w:start w:val="1"/>
      <w:numFmt w:val="lowerLetter"/>
      <w:lvlText w:val="%8"/>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6AEC46">
      <w:start w:val="1"/>
      <w:numFmt w:val="lowerRoman"/>
      <w:lvlText w:val="%9"/>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090E8B"/>
    <w:multiLevelType w:val="hybridMultilevel"/>
    <w:tmpl w:val="2294D6F6"/>
    <w:lvl w:ilvl="0" w:tplc="54603B5C">
      <w:start w:val="1"/>
      <w:numFmt w:val="decimal"/>
      <w:lvlText w:val="%1."/>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A6280">
      <w:start w:val="1"/>
      <w:numFmt w:val="lowerLetter"/>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305C0A">
      <w:start w:val="1"/>
      <w:numFmt w:val="lowerRoman"/>
      <w:lvlText w:val="%3."/>
      <w:lvlJc w:val="left"/>
      <w:pPr>
        <w:ind w:left="1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DC9D3C">
      <w:start w:val="1"/>
      <w:numFmt w:val="decimal"/>
      <w:lvlText w:val="%4"/>
      <w:lvlJc w:val="left"/>
      <w:pPr>
        <w:ind w:left="2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05B1E">
      <w:start w:val="1"/>
      <w:numFmt w:val="lowerLetter"/>
      <w:lvlText w:val="%5"/>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EEC8C8">
      <w:start w:val="1"/>
      <w:numFmt w:val="lowerRoman"/>
      <w:lvlText w:val="%6"/>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963AE0">
      <w:start w:val="1"/>
      <w:numFmt w:val="decimal"/>
      <w:lvlText w:val="%7"/>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61D66">
      <w:start w:val="1"/>
      <w:numFmt w:val="lowerLetter"/>
      <w:lvlText w:val="%8"/>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EE252">
      <w:start w:val="1"/>
      <w:numFmt w:val="lowerRoman"/>
      <w:lvlText w:val="%9"/>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6"/>
  </w:num>
  <w:num w:numId="3">
    <w:abstractNumId w:val="15"/>
  </w:num>
  <w:num w:numId="4">
    <w:abstractNumId w:val="23"/>
  </w:num>
  <w:num w:numId="5">
    <w:abstractNumId w:val="1"/>
  </w:num>
  <w:num w:numId="6">
    <w:abstractNumId w:val="8"/>
  </w:num>
  <w:num w:numId="7">
    <w:abstractNumId w:val="3"/>
  </w:num>
  <w:num w:numId="8">
    <w:abstractNumId w:val="21"/>
  </w:num>
  <w:num w:numId="9">
    <w:abstractNumId w:val="7"/>
  </w:num>
  <w:num w:numId="10">
    <w:abstractNumId w:val="4"/>
  </w:num>
  <w:num w:numId="11">
    <w:abstractNumId w:val="20"/>
  </w:num>
  <w:num w:numId="12">
    <w:abstractNumId w:val="13"/>
  </w:num>
  <w:num w:numId="13">
    <w:abstractNumId w:val="18"/>
  </w:num>
  <w:num w:numId="14">
    <w:abstractNumId w:val="25"/>
  </w:num>
  <w:num w:numId="15">
    <w:abstractNumId w:val="24"/>
  </w:num>
  <w:num w:numId="16">
    <w:abstractNumId w:val="12"/>
  </w:num>
  <w:num w:numId="17">
    <w:abstractNumId w:val="9"/>
  </w:num>
  <w:num w:numId="18">
    <w:abstractNumId w:val="6"/>
  </w:num>
  <w:num w:numId="19">
    <w:abstractNumId w:val="14"/>
  </w:num>
  <w:num w:numId="20">
    <w:abstractNumId w:val="2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F1"/>
    <w:rsid w:val="000C61FE"/>
    <w:rsid w:val="0013552B"/>
    <w:rsid w:val="001D13EB"/>
    <w:rsid w:val="00205C55"/>
    <w:rsid w:val="0025700A"/>
    <w:rsid w:val="002D6270"/>
    <w:rsid w:val="00355FD2"/>
    <w:rsid w:val="00363525"/>
    <w:rsid w:val="00372357"/>
    <w:rsid w:val="00520F6D"/>
    <w:rsid w:val="00556BCB"/>
    <w:rsid w:val="005A04E5"/>
    <w:rsid w:val="006510E0"/>
    <w:rsid w:val="006A3FAA"/>
    <w:rsid w:val="006B6DB9"/>
    <w:rsid w:val="00813E24"/>
    <w:rsid w:val="008E2A3E"/>
    <w:rsid w:val="008F6239"/>
    <w:rsid w:val="0090037A"/>
    <w:rsid w:val="00936919"/>
    <w:rsid w:val="009D2EEC"/>
    <w:rsid w:val="009D525B"/>
    <w:rsid w:val="00A65E2A"/>
    <w:rsid w:val="00A745F1"/>
    <w:rsid w:val="00AC2A74"/>
    <w:rsid w:val="00AE3B2D"/>
    <w:rsid w:val="00AF299C"/>
    <w:rsid w:val="00B068CD"/>
    <w:rsid w:val="00C14DE7"/>
    <w:rsid w:val="00C444AB"/>
    <w:rsid w:val="00C46224"/>
    <w:rsid w:val="00C86AF0"/>
    <w:rsid w:val="00C923A4"/>
    <w:rsid w:val="00CA0D13"/>
    <w:rsid w:val="00CC4970"/>
    <w:rsid w:val="00CC7A06"/>
    <w:rsid w:val="00D215C1"/>
    <w:rsid w:val="00D47B05"/>
    <w:rsid w:val="00D56A8A"/>
    <w:rsid w:val="00DA04A4"/>
    <w:rsid w:val="00DA608F"/>
    <w:rsid w:val="00E0795C"/>
    <w:rsid w:val="00E15B58"/>
    <w:rsid w:val="00E6617F"/>
    <w:rsid w:val="00F92EDF"/>
    <w:rsid w:val="00FC5722"/>
    <w:rsid w:val="00FF48B4"/>
    <w:rsid w:val="1246489E"/>
    <w:rsid w:val="1909398A"/>
    <w:rsid w:val="6949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01351-2875-496E-9F32-1C5448F8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uiPriority w:val="9"/>
    <w:qFormat/>
    <w:rsid w:val="00E661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6B6D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link w:val="TitleChar"/>
    <w:qFormat/>
    <w:pPr>
      <w:widowControl/>
      <w:autoSpaceDE/>
      <w:autoSpaceDN/>
      <w:jc w:val="center"/>
    </w:pPr>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lang w:bidi="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6617F"/>
    <w:rPr>
      <w:rFonts w:asciiTheme="majorHAnsi" w:eastAsiaTheme="majorEastAsia" w:hAnsiTheme="majorHAnsi" w:cstheme="majorBidi"/>
      <w:color w:val="2E74B5" w:themeColor="accent1" w:themeShade="BF"/>
      <w:sz w:val="32"/>
      <w:szCs w:val="32"/>
      <w:lang w:val="en-US" w:eastAsia="en-US"/>
    </w:rPr>
  </w:style>
  <w:style w:type="table" w:customStyle="1" w:styleId="TableGrid">
    <w:name w:val="TableGrid"/>
    <w:rsid w:val="00813E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B6DB9"/>
    <w:rPr>
      <w:rFonts w:asciiTheme="majorHAnsi" w:eastAsiaTheme="majorEastAsia" w:hAnsiTheme="majorHAnsi" w:cstheme="majorBidi"/>
      <w:color w:val="1F4D78" w:themeColor="accent1" w:themeShade="7F"/>
      <w:sz w:val="24"/>
      <w:szCs w:val="24"/>
      <w:lang w:val="en-US" w:eastAsia="en-US"/>
    </w:rPr>
  </w:style>
  <w:style w:type="paragraph" w:customStyle="1" w:styleId="footnotedescription">
    <w:name w:val="footnote description"/>
    <w:next w:val="Normal"/>
    <w:link w:val="footnotedescriptionChar"/>
    <w:hidden/>
    <w:rsid w:val="006B6DB9"/>
    <w:pPr>
      <w:spacing w:line="259" w:lineRule="auto"/>
      <w:ind w:left="14"/>
    </w:pPr>
    <w:rPr>
      <w:rFonts w:ascii="Arial" w:eastAsia="Arial" w:hAnsi="Arial" w:cs="Arial"/>
      <w:i/>
      <w:color w:val="000000"/>
      <w:szCs w:val="22"/>
    </w:rPr>
  </w:style>
  <w:style w:type="character" w:customStyle="1" w:styleId="footnotedescriptionChar">
    <w:name w:val="footnote description Char"/>
    <w:link w:val="footnotedescription"/>
    <w:rsid w:val="006B6DB9"/>
    <w:rPr>
      <w:rFonts w:ascii="Arial" w:eastAsia="Arial" w:hAnsi="Arial" w:cs="Arial"/>
      <w:i/>
      <w:color w:val="000000"/>
      <w:szCs w:val="22"/>
    </w:rPr>
  </w:style>
  <w:style w:type="character" w:customStyle="1" w:styleId="footnotemark">
    <w:name w:val="footnote mark"/>
    <w:hidden/>
    <w:rsid w:val="006B6DB9"/>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7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eadmin@cse-india.com" TargetMode="External"/><Relationship Id="rId4" Type="http://schemas.openxmlformats.org/officeDocument/2006/relationships/settings" Target="settings.xml"/><Relationship Id="rId9" Type="http://schemas.openxmlformats.org/officeDocument/2006/relationships/hyperlink" Target="http://www.cs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9D41-04D4-4398-AF4A-50BA8D59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chandrani</cp:lastModifiedBy>
  <cp:revision>26</cp:revision>
  <dcterms:created xsi:type="dcterms:W3CDTF">2022-05-02T08:14:00Z</dcterms:created>
  <dcterms:modified xsi:type="dcterms:W3CDTF">2024-03-27T09:31:00Z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23AABD9819714AD8911531187D20C75F</vt:lpwstr>
  </property>
</Properties>
</file>