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27" w:rsidRDefault="007C4F4C"/>
    <w:p w:rsidR="004211B2" w:rsidRDefault="004211B2"/>
    <w:p w:rsidR="004211B2" w:rsidRDefault="004211B2"/>
    <w:p w:rsidR="004211B2" w:rsidRDefault="004211B2"/>
    <w:p w:rsidR="004211B2" w:rsidRDefault="004211B2" w:rsidP="004211B2">
      <w:pPr>
        <w:pStyle w:val="Default"/>
        <w:jc w:val="right"/>
        <w:rPr>
          <w:rFonts w:asciiTheme="minorHAnsi" w:eastAsiaTheme="minorEastAsia" w:hAnsiTheme="minorHAnsi" w:cstheme="minorBidi"/>
          <w:kern w:val="0"/>
          <w:sz w:val="22"/>
          <w:szCs w:val="22"/>
          <w:lang w:eastAsia="en-US" w:bidi="ar-SA"/>
        </w:rPr>
      </w:pPr>
      <w:r>
        <w:rPr>
          <w:rFonts w:asciiTheme="minorHAnsi" w:eastAsiaTheme="minorEastAsia" w:hAnsiTheme="minorHAnsi" w:cstheme="minorBidi"/>
          <w:kern w:val="0"/>
          <w:sz w:val="22"/>
          <w:szCs w:val="22"/>
          <w:lang w:eastAsia="en-US" w:bidi="ar-SA"/>
        </w:rPr>
        <w:t>29</w:t>
      </w:r>
      <w:r w:rsidRPr="00E53507">
        <w:rPr>
          <w:rFonts w:asciiTheme="minorHAnsi" w:eastAsiaTheme="minorEastAsia" w:hAnsiTheme="minorHAnsi" w:cstheme="minorBidi"/>
          <w:kern w:val="0"/>
          <w:sz w:val="22"/>
          <w:szCs w:val="22"/>
          <w:vertAlign w:val="superscript"/>
          <w:lang w:eastAsia="en-US" w:bidi="ar-SA"/>
        </w:rPr>
        <w:t>th</w:t>
      </w:r>
      <w:r>
        <w:rPr>
          <w:rFonts w:asciiTheme="minorHAnsi" w:eastAsiaTheme="minorEastAsia" w:hAnsiTheme="minorHAnsi" w:cstheme="minorBidi"/>
          <w:kern w:val="0"/>
          <w:sz w:val="22"/>
          <w:szCs w:val="22"/>
          <w:lang w:eastAsia="en-US" w:bidi="ar-SA"/>
        </w:rPr>
        <w:t xml:space="preserve"> December 2017</w:t>
      </w:r>
    </w:p>
    <w:p w:rsidR="004211B2" w:rsidRDefault="004211B2" w:rsidP="004211B2">
      <w:pPr>
        <w:pStyle w:val="Default"/>
        <w:jc w:val="right"/>
        <w:rPr>
          <w:rFonts w:hAnsi="Times New Roman"/>
        </w:rPr>
      </w:pPr>
    </w:p>
    <w:p w:rsidR="004211B2" w:rsidRDefault="004211B2" w:rsidP="004211B2">
      <w:pPr>
        <w:pStyle w:val="Default"/>
        <w:jc w:val="center"/>
        <w:rPr>
          <w:rFonts w:hAnsi="Times New Roman"/>
          <w:b/>
          <w:u w:val="single"/>
        </w:rPr>
      </w:pPr>
      <w:r>
        <w:rPr>
          <w:rFonts w:hAnsi="Times New Roman"/>
          <w:b/>
          <w:u w:val="single"/>
        </w:rPr>
        <w:t>NOTICE</w:t>
      </w:r>
    </w:p>
    <w:p w:rsidR="004211B2" w:rsidRDefault="004211B2" w:rsidP="004211B2">
      <w:pPr>
        <w:pStyle w:val="Default"/>
        <w:jc w:val="center"/>
        <w:rPr>
          <w:rFonts w:hAnsi="Times New Roman"/>
        </w:rPr>
      </w:pPr>
    </w:p>
    <w:p w:rsidR="004211B2" w:rsidRPr="004211B2" w:rsidRDefault="004211B2" w:rsidP="004211B2">
      <w:pPr>
        <w:spacing w:after="2" w:line="239" w:lineRule="auto"/>
        <w:jc w:val="both"/>
        <w:rPr>
          <w:u w:val="single"/>
        </w:rPr>
      </w:pPr>
      <w:r w:rsidRPr="004211B2">
        <w:rPr>
          <w:rFonts w:ascii="Arial" w:eastAsia="Arial" w:hAnsi="Arial" w:cs="Arial"/>
          <w:b/>
          <w:u w:val="single"/>
        </w:rPr>
        <w:t xml:space="preserve">Sub: Exemption application under Regulation 11 (1) of SEBI (Substantial Acquisition of Shares and Takeovers) Regulations, 2011  </w:t>
      </w:r>
    </w:p>
    <w:p w:rsidR="004211B2" w:rsidRPr="00F8399F" w:rsidRDefault="004211B2" w:rsidP="004211B2">
      <w:pPr>
        <w:spacing w:after="0" w:line="240" w:lineRule="auto"/>
        <w:ind w:left="-6" w:hanging="11"/>
        <w:rPr>
          <w:u w:val="single"/>
        </w:rPr>
      </w:pPr>
    </w:p>
    <w:p w:rsidR="004211B2" w:rsidRDefault="004211B2" w:rsidP="004211B2">
      <w:pPr>
        <w:spacing w:after="182" w:line="235" w:lineRule="auto"/>
        <w:ind w:left="10"/>
        <w:jc w:val="center"/>
        <w:rPr>
          <w:rFonts w:ascii="Arial" w:eastAsia="Arial" w:hAnsi="Arial" w:cs="Arial"/>
          <w:b/>
          <w:u w:val="single" w:color="000000"/>
        </w:rPr>
      </w:pPr>
    </w:p>
    <w:p w:rsidR="004211B2" w:rsidRPr="00F8399F" w:rsidRDefault="004211B2" w:rsidP="004211B2">
      <w:pPr>
        <w:pStyle w:val="Default"/>
        <w:rPr>
          <w:rFonts w:eastAsiaTheme="minorEastAsia" w:hAnsi="Times New Roman"/>
          <w:kern w:val="0"/>
          <w:lang w:eastAsia="en-US" w:bidi="ar-SA"/>
        </w:rPr>
      </w:pPr>
      <w:r w:rsidRPr="00F8399F">
        <w:rPr>
          <w:rFonts w:eastAsiaTheme="minorEastAsia" w:hAnsi="Times New Roman"/>
          <w:kern w:val="0"/>
          <w:lang w:eastAsia="en-US" w:bidi="ar-SA"/>
        </w:rPr>
        <w:t>To all Listed Companies</w:t>
      </w:r>
    </w:p>
    <w:p w:rsidR="004211B2" w:rsidRDefault="004211B2" w:rsidP="004211B2">
      <w:pPr>
        <w:pStyle w:val="Default"/>
        <w:rPr>
          <w:rFonts w:asciiTheme="minorHAnsi" w:eastAsiaTheme="minorEastAsia" w:hAnsiTheme="minorHAnsi" w:cstheme="minorBidi"/>
          <w:kern w:val="0"/>
          <w:sz w:val="22"/>
          <w:szCs w:val="22"/>
          <w:lang w:eastAsia="en-US" w:bidi="ar-SA"/>
        </w:rPr>
      </w:pPr>
    </w:p>
    <w:p w:rsidR="004211B2" w:rsidRDefault="004211B2" w:rsidP="004211B2">
      <w:pPr>
        <w:pStyle w:val="Default"/>
        <w:jc w:val="both"/>
        <w:rPr>
          <w:rFonts w:eastAsiaTheme="minorEastAsia" w:hAnsi="Times New Roman"/>
          <w:kern w:val="0"/>
          <w:lang w:eastAsia="en-US" w:bidi="ar-SA"/>
        </w:rPr>
      </w:pPr>
      <w:r w:rsidRPr="00F8399F">
        <w:rPr>
          <w:rFonts w:eastAsiaTheme="minorEastAsia" w:hAnsi="Times New Roman"/>
          <w:kern w:val="0"/>
          <w:lang w:eastAsia="en-US" w:bidi="ar-SA"/>
        </w:rPr>
        <w:t xml:space="preserve">Attention of such aforesaid listed companies are drawn to SEBI Circular Ref. No. </w:t>
      </w:r>
      <w:hyperlink r:id="rId5" w:history="1">
        <w:r w:rsidRPr="007C4F4C">
          <w:rPr>
            <w:rStyle w:val="Hyperlink"/>
          </w:rPr>
          <w:t>SEBI/HO/CFD/DCR1/CIR/P/2017/131</w:t>
        </w:r>
      </w:hyperlink>
      <w:bookmarkStart w:id="0" w:name="_GoBack"/>
      <w:bookmarkEnd w:id="0"/>
      <w:r>
        <w:t xml:space="preserve"> </w:t>
      </w:r>
      <w:r w:rsidRPr="00F8399F">
        <w:rPr>
          <w:rFonts w:eastAsiaTheme="minorEastAsia" w:hAnsi="Times New Roman"/>
          <w:kern w:val="0"/>
          <w:lang w:eastAsia="en-US" w:bidi="ar-SA"/>
        </w:rPr>
        <w:t xml:space="preserve">dated </w:t>
      </w:r>
      <w:r>
        <w:t xml:space="preserve">December 22, 2017 </w:t>
      </w:r>
      <w:r w:rsidRPr="00F8399F">
        <w:rPr>
          <w:rFonts w:eastAsiaTheme="minorEastAsia" w:hAnsi="Times New Roman"/>
          <w:kern w:val="0"/>
          <w:lang w:eastAsia="en-US" w:bidi="ar-SA"/>
        </w:rPr>
        <w:t xml:space="preserve">(copy available at CSE web-site at </w:t>
      </w:r>
      <w:hyperlink r:id="rId6" w:history="1">
        <w:r w:rsidRPr="00F8399F">
          <w:rPr>
            <w:rStyle w:val="Hyperlink"/>
            <w:rFonts w:eastAsiaTheme="minorEastAsia" w:hAnsi="Times New Roman"/>
            <w:color w:val="auto"/>
            <w:kern w:val="0"/>
            <w:u w:val="none"/>
            <w:lang w:eastAsia="en-US" w:bidi="ar-SA"/>
          </w:rPr>
          <w:t>www.cse-india.com</w:t>
        </w:r>
      </w:hyperlink>
      <w:r w:rsidRPr="00F8399F">
        <w:rPr>
          <w:rFonts w:eastAsiaTheme="minorEastAsia" w:hAnsi="Times New Roman"/>
          <w:kern w:val="0"/>
          <w:lang w:eastAsia="en-US" w:bidi="ar-SA"/>
        </w:rPr>
        <w:t xml:space="preserve"> and SEBI web-site at </w:t>
      </w:r>
      <w:hyperlink r:id="rId7" w:history="1">
        <w:r w:rsidRPr="00F8399F">
          <w:rPr>
            <w:rStyle w:val="Hyperlink"/>
            <w:rFonts w:eastAsiaTheme="minorEastAsia" w:hAnsi="Times New Roman"/>
            <w:color w:val="auto"/>
            <w:kern w:val="0"/>
            <w:u w:val="none"/>
            <w:lang w:eastAsia="en-US" w:bidi="ar-SA"/>
          </w:rPr>
          <w:t>www.sebi.com</w:t>
        </w:r>
      </w:hyperlink>
      <w:r w:rsidRPr="00F8399F">
        <w:rPr>
          <w:rFonts w:eastAsiaTheme="minorEastAsia" w:hAnsi="Times New Roman"/>
          <w:kern w:val="0"/>
          <w:lang w:eastAsia="en-US" w:bidi="ar-SA"/>
        </w:rPr>
        <w:t xml:space="preserve">) wherein </w:t>
      </w:r>
    </w:p>
    <w:p w:rsidR="004211B2" w:rsidRDefault="004211B2" w:rsidP="004211B2">
      <w:pPr>
        <w:pStyle w:val="Default"/>
        <w:jc w:val="both"/>
        <w:rPr>
          <w:rFonts w:eastAsiaTheme="minorEastAsia" w:hAnsi="Times New Roman"/>
          <w:kern w:val="0"/>
          <w:lang w:eastAsia="en-US" w:bidi="ar-SA"/>
        </w:rPr>
      </w:pPr>
    </w:p>
    <w:p w:rsidR="004211B2" w:rsidRDefault="004211B2" w:rsidP="004211B2">
      <w:pPr>
        <w:spacing w:after="0" w:line="240" w:lineRule="auto"/>
        <w:ind w:right="119"/>
        <w:jc w:val="both"/>
        <w:rPr>
          <w:rFonts w:ascii="Times New Roman" w:eastAsia="Times New Roman" w:hAnsi="Lucida Sans Unicode" w:cs="Times New Roman"/>
          <w:kern w:val="2"/>
          <w:sz w:val="24"/>
          <w:szCs w:val="24"/>
          <w:lang w:eastAsia="zh-CN" w:bidi="hi-IN"/>
        </w:rPr>
      </w:pPr>
      <w:r w:rsidRPr="004211B2">
        <w:rPr>
          <w:rFonts w:ascii="Times New Roman" w:eastAsia="Times New Roman" w:hAnsi="Lucida Sans Unicode" w:cs="Times New Roman"/>
          <w:kern w:val="2"/>
          <w:sz w:val="24"/>
          <w:szCs w:val="24"/>
          <w:lang w:eastAsia="zh-CN" w:bidi="hi-IN"/>
        </w:rPr>
        <w:t xml:space="preserve">As per the said Circular </w:t>
      </w:r>
      <w:r w:rsidRPr="004211B2">
        <w:rPr>
          <w:rFonts w:ascii="Times New Roman" w:eastAsia="Times New Roman" w:hAnsi="Lucida Sans Unicode" w:cs="Times New Roman"/>
          <w:kern w:val="2"/>
          <w:sz w:val="24"/>
          <w:szCs w:val="24"/>
          <w:lang w:eastAsia="zh-CN" w:bidi="hi-IN"/>
        </w:rPr>
        <w:t>“</w:t>
      </w:r>
      <w:r w:rsidRPr="004211B2">
        <w:rPr>
          <w:rFonts w:ascii="Times New Roman" w:eastAsia="Times New Roman" w:hAnsi="Lucida Sans Unicode" w:cs="Times New Roman"/>
          <w:kern w:val="2"/>
          <w:sz w:val="24"/>
          <w:szCs w:val="24"/>
          <w:lang w:eastAsia="zh-CN" w:bidi="hi-IN"/>
        </w:rPr>
        <w:t>Regulation 11(1) of SEBI (Substantial Acquisition of Shares and Takeovers) Regulations, 2011 (SAST Regulations), gives power to the Board to grant exemption from the obligation to make an open offer for acquiring shares. Further, as per Regulation 11(3) of SAST Regulations, the acquirer shall file an application with the Board, supported by a duly sworn affidavit, giving details of the proposed acquisition and the grounds on which the exemption has been sought.</w:t>
      </w:r>
      <w:r w:rsidRPr="004211B2">
        <w:rPr>
          <w:rFonts w:ascii="Times New Roman" w:eastAsia="Times New Roman" w:hAnsi="Lucida Sans Unicode" w:cs="Times New Roman"/>
          <w:kern w:val="2"/>
          <w:sz w:val="24"/>
          <w:szCs w:val="24"/>
          <w:lang w:eastAsia="zh-CN" w:bidi="hi-IN"/>
        </w:rPr>
        <w:t>”</w:t>
      </w:r>
      <w:r w:rsidRPr="004211B2">
        <w:rPr>
          <w:rFonts w:ascii="Times New Roman" w:eastAsia="Times New Roman" w:hAnsi="Lucida Sans Unicode" w:cs="Times New Roman"/>
          <w:kern w:val="2"/>
          <w:sz w:val="24"/>
          <w:szCs w:val="24"/>
          <w:lang w:eastAsia="zh-CN" w:bidi="hi-IN"/>
        </w:rPr>
        <w:t xml:space="preserve">  </w:t>
      </w:r>
    </w:p>
    <w:p w:rsidR="004211B2" w:rsidRDefault="004211B2" w:rsidP="004211B2">
      <w:pPr>
        <w:spacing w:after="0" w:line="240" w:lineRule="auto"/>
        <w:ind w:right="119"/>
        <w:jc w:val="both"/>
        <w:rPr>
          <w:rFonts w:ascii="Times New Roman" w:eastAsia="Times New Roman" w:hAnsi="Lucida Sans Unicode" w:cs="Times New Roman"/>
          <w:kern w:val="2"/>
          <w:sz w:val="24"/>
          <w:szCs w:val="24"/>
          <w:lang w:eastAsia="zh-CN" w:bidi="hi-IN"/>
        </w:rPr>
      </w:pPr>
    </w:p>
    <w:p w:rsidR="004211B2" w:rsidRPr="004211B2" w:rsidRDefault="004211B2" w:rsidP="004211B2">
      <w:pPr>
        <w:spacing w:after="208" w:line="269" w:lineRule="auto"/>
        <w:ind w:right="121"/>
        <w:jc w:val="both"/>
        <w:rPr>
          <w:rFonts w:ascii="Times New Roman" w:eastAsia="Times New Roman" w:hAnsi="Lucida Sans Unicode" w:cs="Times New Roman"/>
          <w:kern w:val="2"/>
          <w:sz w:val="24"/>
          <w:szCs w:val="24"/>
          <w:lang w:eastAsia="zh-CN" w:bidi="hi-IN"/>
        </w:rPr>
      </w:pPr>
      <w:r w:rsidRPr="004211B2">
        <w:rPr>
          <w:rFonts w:ascii="Times New Roman" w:eastAsia="Times New Roman" w:hAnsi="Lucida Sans Unicode" w:cs="Times New Roman"/>
          <w:kern w:val="2"/>
          <w:sz w:val="24"/>
          <w:szCs w:val="24"/>
          <w:lang w:eastAsia="zh-CN" w:bidi="hi-IN"/>
        </w:rPr>
        <w:t xml:space="preserve">In order to ensure uniformity of disclosures in such applications, it has been decided by SEBI to provide a standard format for filing of application with SEBI. The instructions and details in this regard are given at Annexure </w:t>
      </w:r>
      <w:r w:rsidRPr="004211B2">
        <w:rPr>
          <w:rFonts w:ascii="Times New Roman" w:eastAsia="Times New Roman" w:hAnsi="Lucida Sans Unicode" w:cs="Times New Roman"/>
          <w:kern w:val="2"/>
          <w:sz w:val="24"/>
          <w:szCs w:val="24"/>
          <w:lang w:eastAsia="zh-CN" w:bidi="hi-IN"/>
        </w:rPr>
        <w:t>–</w:t>
      </w:r>
      <w:r w:rsidRPr="004211B2">
        <w:rPr>
          <w:rFonts w:ascii="Times New Roman" w:eastAsia="Times New Roman" w:hAnsi="Lucida Sans Unicode" w:cs="Times New Roman"/>
          <w:kern w:val="2"/>
          <w:sz w:val="24"/>
          <w:szCs w:val="24"/>
          <w:lang w:eastAsia="zh-CN" w:bidi="hi-IN"/>
        </w:rPr>
        <w:t xml:space="preserve"> A (part of the enclosed SEBI Circular).</w:t>
      </w:r>
    </w:p>
    <w:p w:rsidR="004211B2" w:rsidRPr="00D57FFD" w:rsidRDefault="004211B2" w:rsidP="004211B2">
      <w:pPr>
        <w:spacing w:after="19" w:line="259" w:lineRule="auto"/>
        <w:ind w:left="360"/>
        <w:rPr>
          <w:rFonts w:ascii="Times New Roman" w:hAnsi="Times New Roman" w:cs="Times New Roman"/>
          <w:sz w:val="24"/>
          <w:szCs w:val="24"/>
        </w:rPr>
      </w:pPr>
      <w:r w:rsidRPr="00D57FFD">
        <w:rPr>
          <w:rFonts w:ascii="Times New Roman" w:hAnsi="Times New Roman" w:cs="Times New Roman"/>
          <w:sz w:val="24"/>
          <w:szCs w:val="24"/>
        </w:rPr>
        <w:t xml:space="preserve"> </w:t>
      </w:r>
    </w:p>
    <w:p w:rsidR="004211B2" w:rsidRPr="00D57FFD" w:rsidRDefault="004211B2" w:rsidP="004211B2">
      <w:pPr>
        <w:spacing w:after="16" w:line="252" w:lineRule="auto"/>
        <w:jc w:val="both"/>
        <w:rPr>
          <w:rFonts w:ascii="Times New Roman" w:hAnsi="Times New Roman" w:cs="Times New Roman"/>
          <w:sz w:val="24"/>
          <w:szCs w:val="24"/>
        </w:rPr>
      </w:pPr>
      <w:r w:rsidRPr="00D57FFD">
        <w:rPr>
          <w:rFonts w:ascii="Times New Roman" w:hAnsi="Times New Roman" w:cs="Times New Roman"/>
          <w:sz w:val="24"/>
          <w:szCs w:val="24"/>
        </w:rPr>
        <w:t>This is for information and necessary action.</w:t>
      </w:r>
    </w:p>
    <w:p w:rsidR="004211B2" w:rsidRPr="00D57FFD" w:rsidRDefault="004211B2" w:rsidP="004211B2">
      <w:pPr>
        <w:pStyle w:val="Default"/>
        <w:rPr>
          <w:rFonts w:eastAsiaTheme="minorEastAsia" w:hAnsi="Times New Roman"/>
          <w:kern w:val="0"/>
          <w:lang w:eastAsia="en-US" w:bidi="ar-SA"/>
        </w:rPr>
      </w:pPr>
    </w:p>
    <w:p w:rsidR="004211B2" w:rsidRPr="00D57FFD" w:rsidRDefault="004211B2" w:rsidP="004211B2">
      <w:pPr>
        <w:pStyle w:val="Default"/>
        <w:rPr>
          <w:rFonts w:eastAsiaTheme="minorEastAsia" w:hAnsi="Times New Roman"/>
          <w:kern w:val="0"/>
          <w:lang w:eastAsia="en-US" w:bidi="ar-SA"/>
        </w:rPr>
      </w:pPr>
    </w:p>
    <w:p w:rsidR="004211B2" w:rsidRDefault="004211B2" w:rsidP="004211B2">
      <w:pPr>
        <w:pStyle w:val="Default"/>
        <w:rPr>
          <w:rFonts w:eastAsiaTheme="minorEastAsia" w:hAnsi="Times New Roman"/>
          <w:kern w:val="0"/>
          <w:lang w:eastAsia="en-US" w:bidi="ar-SA"/>
        </w:rPr>
      </w:pPr>
    </w:p>
    <w:p w:rsidR="004211B2" w:rsidRPr="00D57FFD" w:rsidRDefault="004211B2" w:rsidP="004211B2">
      <w:pPr>
        <w:pStyle w:val="Default"/>
        <w:rPr>
          <w:rFonts w:eastAsiaTheme="minorEastAsia" w:hAnsi="Times New Roman"/>
          <w:kern w:val="0"/>
          <w:lang w:eastAsia="en-US" w:bidi="ar-SA"/>
        </w:rPr>
      </w:pPr>
    </w:p>
    <w:p w:rsidR="004211B2" w:rsidRPr="00D57FFD" w:rsidRDefault="004211B2" w:rsidP="004211B2">
      <w:pPr>
        <w:pStyle w:val="Default"/>
        <w:rPr>
          <w:rFonts w:eastAsiaTheme="minorEastAsia" w:hAnsi="Times New Roman"/>
          <w:kern w:val="0"/>
          <w:lang w:eastAsia="en-US" w:bidi="ar-SA"/>
        </w:rPr>
      </w:pPr>
      <w:r w:rsidRPr="00D57FFD">
        <w:rPr>
          <w:rFonts w:eastAsiaTheme="minorEastAsia" w:hAnsi="Times New Roman"/>
          <w:kern w:val="0"/>
          <w:lang w:eastAsia="en-US" w:bidi="ar-SA"/>
        </w:rPr>
        <w:t>CS Chandrani Datta</w:t>
      </w:r>
    </w:p>
    <w:p w:rsidR="004211B2" w:rsidRPr="00D57FFD" w:rsidRDefault="004211B2" w:rsidP="004211B2">
      <w:pPr>
        <w:pStyle w:val="Default"/>
        <w:rPr>
          <w:rFonts w:eastAsiaTheme="minorEastAsia" w:hAnsi="Times New Roman"/>
          <w:kern w:val="0"/>
          <w:lang w:eastAsia="en-US" w:bidi="ar-SA"/>
        </w:rPr>
      </w:pPr>
      <w:r w:rsidRPr="00D57FFD">
        <w:rPr>
          <w:rFonts w:eastAsiaTheme="minorEastAsia" w:hAnsi="Times New Roman"/>
          <w:kern w:val="0"/>
          <w:lang w:eastAsia="en-US" w:bidi="ar-SA"/>
        </w:rPr>
        <w:t>Executive-Listing</w:t>
      </w:r>
    </w:p>
    <w:p w:rsidR="004211B2" w:rsidRPr="00D57FFD" w:rsidRDefault="004211B2" w:rsidP="004211B2">
      <w:pPr>
        <w:rPr>
          <w:rFonts w:ascii="Times New Roman" w:hAnsi="Times New Roman" w:cs="Times New Roman"/>
          <w:sz w:val="24"/>
          <w:szCs w:val="24"/>
        </w:rPr>
      </w:pPr>
    </w:p>
    <w:p w:rsidR="004211B2" w:rsidRDefault="004211B2"/>
    <w:sectPr w:rsidR="00421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80632"/>
    <w:multiLevelType w:val="hybridMultilevel"/>
    <w:tmpl w:val="C736E20A"/>
    <w:lvl w:ilvl="0" w:tplc="2A3801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E30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386E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6A33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04B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BE8C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E8D6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286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E063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91"/>
    <w:rsid w:val="004211B2"/>
    <w:rsid w:val="007C4F4C"/>
    <w:rsid w:val="008B0947"/>
    <w:rsid w:val="00945675"/>
    <w:rsid w:val="00CC35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3D2F0-E3B3-4D55-A578-3A42BFC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B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1B2"/>
    <w:rPr>
      <w:color w:val="0000FF"/>
      <w:u w:val="single"/>
    </w:rPr>
  </w:style>
  <w:style w:type="paragraph" w:customStyle="1" w:styleId="Default">
    <w:name w:val="Default"/>
    <w:rsid w:val="004211B2"/>
    <w:pPr>
      <w:widowControl w:val="0"/>
      <w:autoSpaceDE w:val="0"/>
      <w:autoSpaceDN w:val="0"/>
      <w:adjustRightInd w:val="0"/>
      <w:spacing w:after="0" w:line="240" w:lineRule="auto"/>
    </w:pPr>
    <w:rPr>
      <w:rFonts w:ascii="Times New Roman" w:eastAsia="Times New Roman" w:hAnsi="Lucida Sans Unicode" w:cs="Times New Roman"/>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b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e-india.com/" TargetMode="External"/><Relationship Id="rId5" Type="http://schemas.openxmlformats.org/officeDocument/2006/relationships/hyperlink" Target="http://www.cse-india.com/upload/upload/SEBI_CIRCULAR_221220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chandrani</dc:creator>
  <cp:keywords/>
  <dc:description/>
  <cp:lastModifiedBy>Administrator</cp:lastModifiedBy>
  <cp:revision>2</cp:revision>
  <dcterms:created xsi:type="dcterms:W3CDTF">2017-12-29T08:07:00Z</dcterms:created>
  <dcterms:modified xsi:type="dcterms:W3CDTF">2017-12-29T08:07:00Z</dcterms:modified>
</cp:coreProperties>
</file>