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0D" w:rsidRDefault="00AB190D" w:rsidP="00AB190D">
      <w:pPr>
        <w:pStyle w:val="BodyText2"/>
        <w:rPr>
          <w:rFonts w:ascii="Arial" w:hAnsi="Arial" w:cs="Arial"/>
          <w:b/>
          <w:u w:val="single"/>
        </w:rPr>
      </w:pPr>
      <w:r>
        <w:rPr>
          <w:rFonts w:ascii="Arial" w:hAnsi="Arial" w:cs="Arial"/>
          <w:b/>
          <w:u w:val="single"/>
        </w:rPr>
        <w:t>Documents required for granting approval under Clause 24(a) of the Listing Agreement, for companies proposing to come out with issue of GDRs/ADRs/FCCBs.</w:t>
      </w:r>
    </w:p>
    <w:p w:rsidR="00AB190D" w:rsidRDefault="00AB190D" w:rsidP="00AB190D">
      <w:pPr>
        <w:ind w:right="18"/>
        <w:rPr>
          <w:rFonts w:ascii="Arial" w:hAnsi="Arial" w:cs="Arial"/>
          <w:sz w:val="22"/>
        </w:rPr>
      </w:pPr>
    </w:p>
    <w:p w:rsidR="00AB190D" w:rsidRDefault="00AB190D" w:rsidP="00AB190D">
      <w:pPr>
        <w:ind w:right="18"/>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6184"/>
        <w:gridCol w:w="2060"/>
      </w:tblGrid>
      <w:tr w:rsidR="00AB190D" w:rsidTr="00653523">
        <w:tblPrEx>
          <w:tblCellMar>
            <w:top w:w="0" w:type="dxa"/>
            <w:bottom w:w="0" w:type="dxa"/>
          </w:tblCellMar>
        </w:tblPrEx>
        <w:tc>
          <w:tcPr>
            <w:tcW w:w="715" w:type="dxa"/>
          </w:tcPr>
          <w:p w:rsidR="00AB190D" w:rsidRDefault="00AB190D" w:rsidP="00653523">
            <w:pPr>
              <w:spacing w:before="60"/>
              <w:jc w:val="center"/>
              <w:rPr>
                <w:rFonts w:ascii="Arial" w:hAnsi="Arial" w:cs="Arial"/>
                <w:b/>
                <w:bCs/>
                <w:sz w:val="22"/>
              </w:rPr>
            </w:pPr>
            <w:r>
              <w:rPr>
                <w:rFonts w:ascii="Arial" w:hAnsi="Arial" w:cs="Arial"/>
                <w:b/>
                <w:bCs/>
                <w:sz w:val="22"/>
              </w:rPr>
              <w:t>Sr. No.</w:t>
            </w:r>
          </w:p>
        </w:tc>
        <w:tc>
          <w:tcPr>
            <w:tcW w:w="6349" w:type="dxa"/>
          </w:tcPr>
          <w:p w:rsidR="00AB190D" w:rsidRDefault="00AB190D" w:rsidP="00653523">
            <w:pPr>
              <w:pStyle w:val="Heading3"/>
              <w:spacing w:before="60"/>
              <w:jc w:val="center"/>
              <w:rPr>
                <w:rFonts w:ascii="Arial" w:hAnsi="Arial" w:cs="Arial"/>
                <w:sz w:val="22"/>
              </w:rPr>
            </w:pPr>
            <w:r>
              <w:rPr>
                <w:rFonts w:ascii="Arial" w:hAnsi="Arial" w:cs="Arial"/>
                <w:sz w:val="22"/>
              </w:rPr>
              <w:t xml:space="preserve">Documents to be submitted </w:t>
            </w:r>
          </w:p>
        </w:tc>
        <w:tc>
          <w:tcPr>
            <w:tcW w:w="2116" w:type="dxa"/>
          </w:tcPr>
          <w:p w:rsidR="00AB190D" w:rsidRDefault="00AB190D" w:rsidP="00653523">
            <w:pPr>
              <w:spacing w:before="60"/>
              <w:jc w:val="center"/>
              <w:rPr>
                <w:rFonts w:ascii="Arial" w:hAnsi="Arial" w:cs="Arial"/>
                <w:b/>
                <w:bCs/>
                <w:sz w:val="22"/>
              </w:rPr>
            </w:pPr>
            <w:r>
              <w:rPr>
                <w:rFonts w:ascii="Arial" w:hAnsi="Arial" w:cs="Arial"/>
                <w:b/>
                <w:bCs/>
                <w:sz w:val="22"/>
              </w:rPr>
              <w:t>Page Nos.</w:t>
            </w:r>
          </w:p>
        </w:tc>
      </w:tr>
      <w:tr w:rsidR="00AB190D" w:rsidTr="00653523">
        <w:tblPrEx>
          <w:tblCellMar>
            <w:top w:w="0" w:type="dxa"/>
            <w:bottom w:w="0" w:type="dxa"/>
          </w:tblCellMar>
        </w:tblPrEx>
        <w:tc>
          <w:tcPr>
            <w:tcW w:w="715" w:type="dxa"/>
          </w:tcPr>
          <w:p w:rsidR="00AB190D" w:rsidRDefault="00AB190D" w:rsidP="00653523">
            <w:pPr>
              <w:spacing w:before="60"/>
              <w:jc w:val="center"/>
              <w:rPr>
                <w:rFonts w:ascii="Arial" w:hAnsi="Arial" w:cs="Arial"/>
                <w:bCs/>
                <w:sz w:val="22"/>
              </w:rPr>
            </w:pPr>
            <w:r>
              <w:rPr>
                <w:rFonts w:ascii="Arial" w:hAnsi="Arial" w:cs="Arial"/>
                <w:bCs/>
                <w:sz w:val="22"/>
              </w:rPr>
              <w:t>1</w:t>
            </w:r>
          </w:p>
        </w:tc>
        <w:tc>
          <w:tcPr>
            <w:tcW w:w="6349" w:type="dxa"/>
          </w:tcPr>
          <w:p w:rsidR="00AB190D" w:rsidRDefault="00AB190D" w:rsidP="00653523">
            <w:pPr>
              <w:pStyle w:val="Heading3"/>
              <w:spacing w:before="60"/>
              <w:jc w:val="both"/>
              <w:rPr>
                <w:rFonts w:ascii="Arial" w:hAnsi="Arial" w:cs="Arial"/>
                <w:b w:val="0"/>
                <w:bCs/>
                <w:sz w:val="22"/>
              </w:rPr>
            </w:pPr>
            <w:r>
              <w:rPr>
                <w:rFonts w:ascii="Arial" w:hAnsi="Arial" w:cs="Arial"/>
                <w:b w:val="0"/>
                <w:bCs/>
                <w:sz w:val="22"/>
              </w:rPr>
              <w:t>Certified true copy of the resolution passed by the Board of Directors of the Company approving the issue of the GDRs/ADRs/FCCBs.</w:t>
            </w:r>
          </w:p>
        </w:tc>
        <w:tc>
          <w:tcPr>
            <w:tcW w:w="2116" w:type="dxa"/>
          </w:tcPr>
          <w:p w:rsidR="00AB190D" w:rsidRDefault="00AB190D" w:rsidP="00653523">
            <w:pPr>
              <w:spacing w:before="60"/>
              <w:jc w:val="both"/>
              <w:rPr>
                <w:rFonts w:ascii="Arial" w:hAnsi="Arial" w:cs="Arial"/>
                <w:bCs/>
                <w:sz w:val="22"/>
              </w:rPr>
            </w:pPr>
          </w:p>
        </w:tc>
      </w:tr>
      <w:tr w:rsidR="00AB190D" w:rsidTr="00653523">
        <w:tblPrEx>
          <w:tblCellMar>
            <w:top w:w="0" w:type="dxa"/>
            <w:bottom w:w="0" w:type="dxa"/>
          </w:tblCellMar>
        </w:tblPrEx>
        <w:tc>
          <w:tcPr>
            <w:tcW w:w="715" w:type="dxa"/>
          </w:tcPr>
          <w:p w:rsidR="00AB190D" w:rsidRDefault="00AB190D" w:rsidP="00653523">
            <w:pPr>
              <w:spacing w:before="60"/>
              <w:jc w:val="center"/>
              <w:rPr>
                <w:rFonts w:ascii="Arial" w:hAnsi="Arial" w:cs="Arial"/>
                <w:bCs/>
                <w:sz w:val="22"/>
              </w:rPr>
            </w:pPr>
            <w:r>
              <w:rPr>
                <w:rFonts w:ascii="Arial" w:hAnsi="Arial" w:cs="Arial"/>
                <w:bCs/>
                <w:sz w:val="22"/>
              </w:rPr>
              <w:t>2</w:t>
            </w:r>
          </w:p>
        </w:tc>
        <w:tc>
          <w:tcPr>
            <w:tcW w:w="6349" w:type="dxa"/>
          </w:tcPr>
          <w:p w:rsidR="00AB190D" w:rsidRDefault="00AB190D" w:rsidP="00653523">
            <w:pPr>
              <w:pStyle w:val="Heading3"/>
              <w:spacing w:before="60"/>
              <w:jc w:val="both"/>
              <w:rPr>
                <w:rFonts w:ascii="Arial" w:hAnsi="Arial" w:cs="Arial"/>
                <w:b w:val="0"/>
                <w:bCs/>
                <w:sz w:val="22"/>
              </w:rPr>
            </w:pPr>
            <w:r>
              <w:rPr>
                <w:rFonts w:ascii="Arial" w:hAnsi="Arial" w:cs="Arial"/>
                <w:b w:val="0"/>
                <w:bCs/>
                <w:sz w:val="22"/>
              </w:rPr>
              <w:t>Copy of the notice sent to the shareholders of the company.</w:t>
            </w:r>
          </w:p>
        </w:tc>
        <w:tc>
          <w:tcPr>
            <w:tcW w:w="2116" w:type="dxa"/>
          </w:tcPr>
          <w:p w:rsidR="00AB190D" w:rsidRDefault="00AB190D" w:rsidP="00653523">
            <w:pPr>
              <w:spacing w:before="60"/>
              <w:jc w:val="both"/>
              <w:rPr>
                <w:rFonts w:ascii="Arial" w:hAnsi="Arial" w:cs="Arial"/>
                <w:bCs/>
                <w:sz w:val="22"/>
              </w:rPr>
            </w:pPr>
          </w:p>
        </w:tc>
      </w:tr>
      <w:tr w:rsidR="00AB190D" w:rsidTr="00653523">
        <w:tblPrEx>
          <w:tblCellMar>
            <w:top w:w="0" w:type="dxa"/>
            <w:bottom w:w="0" w:type="dxa"/>
          </w:tblCellMar>
        </w:tblPrEx>
        <w:tc>
          <w:tcPr>
            <w:tcW w:w="715" w:type="dxa"/>
          </w:tcPr>
          <w:p w:rsidR="00AB190D" w:rsidRDefault="00AB190D" w:rsidP="00653523">
            <w:pPr>
              <w:spacing w:before="60"/>
              <w:jc w:val="center"/>
              <w:rPr>
                <w:rFonts w:ascii="Arial" w:hAnsi="Arial" w:cs="Arial"/>
                <w:bCs/>
                <w:sz w:val="22"/>
              </w:rPr>
            </w:pPr>
            <w:r>
              <w:rPr>
                <w:rFonts w:ascii="Arial" w:hAnsi="Arial" w:cs="Arial"/>
                <w:bCs/>
                <w:sz w:val="22"/>
              </w:rPr>
              <w:t>3</w:t>
            </w:r>
          </w:p>
        </w:tc>
        <w:tc>
          <w:tcPr>
            <w:tcW w:w="6349" w:type="dxa"/>
          </w:tcPr>
          <w:p w:rsidR="00AB190D" w:rsidRDefault="00AB190D" w:rsidP="00653523">
            <w:pPr>
              <w:pStyle w:val="Heading3"/>
              <w:spacing w:before="60"/>
              <w:jc w:val="both"/>
              <w:rPr>
                <w:rFonts w:ascii="Arial" w:hAnsi="Arial" w:cs="Arial"/>
                <w:b w:val="0"/>
                <w:bCs/>
                <w:sz w:val="22"/>
              </w:rPr>
            </w:pPr>
            <w:r>
              <w:rPr>
                <w:rFonts w:ascii="Arial" w:hAnsi="Arial" w:cs="Arial"/>
                <w:b w:val="0"/>
                <w:bCs/>
                <w:sz w:val="22"/>
              </w:rPr>
              <w:t>Certified true copy of the resolution passed by the shareholders of the Company in the general body meeting approving the issue of the GDRs/ADRs/FCCBs.</w:t>
            </w:r>
          </w:p>
        </w:tc>
        <w:tc>
          <w:tcPr>
            <w:tcW w:w="2116" w:type="dxa"/>
          </w:tcPr>
          <w:p w:rsidR="00AB190D" w:rsidRDefault="00AB190D" w:rsidP="00653523">
            <w:pPr>
              <w:spacing w:before="60"/>
              <w:jc w:val="both"/>
              <w:rPr>
                <w:rFonts w:ascii="Arial" w:hAnsi="Arial" w:cs="Arial"/>
                <w:bCs/>
                <w:sz w:val="22"/>
              </w:rPr>
            </w:pPr>
          </w:p>
        </w:tc>
      </w:tr>
      <w:tr w:rsidR="00AB190D" w:rsidTr="00653523">
        <w:tblPrEx>
          <w:tblCellMar>
            <w:top w:w="0" w:type="dxa"/>
            <w:bottom w:w="0" w:type="dxa"/>
          </w:tblCellMar>
        </w:tblPrEx>
        <w:tc>
          <w:tcPr>
            <w:tcW w:w="715" w:type="dxa"/>
          </w:tcPr>
          <w:p w:rsidR="00AB190D" w:rsidRDefault="00AB190D" w:rsidP="00653523">
            <w:pPr>
              <w:spacing w:before="60"/>
              <w:jc w:val="center"/>
              <w:rPr>
                <w:rFonts w:ascii="Arial" w:hAnsi="Arial" w:cs="Arial"/>
                <w:bCs/>
                <w:sz w:val="22"/>
              </w:rPr>
            </w:pPr>
            <w:r>
              <w:rPr>
                <w:rFonts w:ascii="Arial" w:hAnsi="Arial" w:cs="Arial"/>
                <w:bCs/>
                <w:sz w:val="22"/>
              </w:rPr>
              <w:t>4</w:t>
            </w:r>
          </w:p>
        </w:tc>
        <w:tc>
          <w:tcPr>
            <w:tcW w:w="6349" w:type="dxa"/>
          </w:tcPr>
          <w:p w:rsidR="00AB190D" w:rsidRDefault="00AB190D" w:rsidP="00653523">
            <w:pPr>
              <w:pStyle w:val="Heading3"/>
              <w:spacing w:before="60"/>
              <w:jc w:val="both"/>
              <w:rPr>
                <w:rFonts w:ascii="Arial" w:hAnsi="Arial" w:cs="Arial"/>
                <w:b w:val="0"/>
                <w:bCs/>
                <w:sz w:val="22"/>
              </w:rPr>
            </w:pPr>
            <w:r>
              <w:rPr>
                <w:rFonts w:ascii="Arial" w:hAnsi="Arial" w:cs="Arial"/>
                <w:b w:val="0"/>
                <w:bCs/>
                <w:sz w:val="22"/>
              </w:rPr>
              <w:t>Draft offering circular for issue of the GDRs/ADRs/FCCBs.</w:t>
            </w:r>
          </w:p>
        </w:tc>
        <w:tc>
          <w:tcPr>
            <w:tcW w:w="2116" w:type="dxa"/>
          </w:tcPr>
          <w:p w:rsidR="00AB190D" w:rsidRDefault="00AB190D" w:rsidP="00653523">
            <w:pPr>
              <w:spacing w:before="60"/>
              <w:jc w:val="both"/>
              <w:rPr>
                <w:rFonts w:ascii="Arial" w:hAnsi="Arial" w:cs="Arial"/>
                <w:bCs/>
                <w:sz w:val="22"/>
              </w:rPr>
            </w:pPr>
          </w:p>
        </w:tc>
      </w:tr>
      <w:tr w:rsidR="00AB190D" w:rsidTr="00653523">
        <w:tblPrEx>
          <w:tblCellMar>
            <w:top w:w="0" w:type="dxa"/>
            <w:bottom w:w="0" w:type="dxa"/>
          </w:tblCellMar>
        </w:tblPrEx>
        <w:tc>
          <w:tcPr>
            <w:tcW w:w="715" w:type="dxa"/>
          </w:tcPr>
          <w:p w:rsidR="00AB190D" w:rsidRDefault="00AB190D" w:rsidP="00653523">
            <w:pPr>
              <w:spacing w:before="60"/>
              <w:jc w:val="center"/>
              <w:rPr>
                <w:rFonts w:ascii="Arial" w:hAnsi="Arial" w:cs="Arial"/>
                <w:bCs/>
                <w:sz w:val="22"/>
              </w:rPr>
            </w:pPr>
            <w:r>
              <w:rPr>
                <w:rFonts w:ascii="Arial" w:hAnsi="Arial" w:cs="Arial"/>
                <w:bCs/>
                <w:sz w:val="22"/>
              </w:rPr>
              <w:t>5</w:t>
            </w:r>
          </w:p>
        </w:tc>
        <w:tc>
          <w:tcPr>
            <w:tcW w:w="6349" w:type="dxa"/>
          </w:tcPr>
          <w:p w:rsidR="00AB190D" w:rsidRDefault="00AB190D" w:rsidP="00653523">
            <w:pPr>
              <w:pStyle w:val="Heading3"/>
              <w:spacing w:before="60"/>
              <w:jc w:val="both"/>
              <w:rPr>
                <w:rFonts w:ascii="Arial" w:hAnsi="Arial" w:cs="Arial"/>
                <w:b w:val="0"/>
                <w:bCs/>
                <w:sz w:val="22"/>
              </w:rPr>
            </w:pPr>
            <w:r>
              <w:rPr>
                <w:rFonts w:ascii="Arial" w:hAnsi="Arial" w:cs="Arial"/>
                <w:b w:val="0"/>
                <w:bCs/>
                <w:sz w:val="22"/>
              </w:rPr>
              <w:t>Confirmation by the Managing Director and/or Company Secretary as per format enclosed.</w:t>
            </w:r>
          </w:p>
        </w:tc>
        <w:tc>
          <w:tcPr>
            <w:tcW w:w="2116" w:type="dxa"/>
          </w:tcPr>
          <w:p w:rsidR="00AB190D" w:rsidRDefault="00AB190D" w:rsidP="00653523">
            <w:pPr>
              <w:spacing w:before="60"/>
              <w:jc w:val="both"/>
              <w:rPr>
                <w:rFonts w:ascii="Arial" w:hAnsi="Arial" w:cs="Arial"/>
                <w:bCs/>
                <w:sz w:val="22"/>
              </w:rPr>
            </w:pPr>
          </w:p>
        </w:tc>
      </w:tr>
      <w:tr w:rsidR="00AB190D" w:rsidTr="00653523">
        <w:tblPrEx>
          <w:tblCellMar>
            <w:top w:w="0" w:type="dxa"/>
            <w:bottom w:w="0" w:type="dxa"/>
          </w:tblCellMar>
        </w:tblPrEx>
        <w:tc>
          <w:tcPr>
            <w:tcW w:w="715" w:type="dxa"/>
          </w:tcPr>
          <w:p w:rsidR="00AB190D" w:rsidRDefault="00AB190D" w:rsidP="00653523">
            <w:pPr>
              <w:spacing w:before="60"/>
              <w:jc w:val="center"/>
              <w:rPr>
                <w:rFonts w:ascii="Arial" w:hAnsi="Arial" w:cs="Arial"/>
                <w:bCs/>
                <w:sz w:val="22"/>
              </w:rPr>
            </w:pPr>
            <w:r>
              <w:rPr>
                <w:rFonts w:ascii="Arial" w:hAnsi="Arial" w:cs="Arial"/>
                <w:bCs/>
                <w:sz w:val="22"/>
              </w:rPr>
              <w:t>6</w:t>
            </w:r>
          </w:p>
        </w:tc>
        <w:tc>
          <w:tcPr>
            <w:tcW w:w="6349" w:type="dxa"/>
          </w:tcPr>
          <w:p w:rsidR="00AB190D" w:rsidRDefault="00AB190D" w:rsidP="00653523">
            <w:pPr>
              <w:pStyle w:val="Heading3"/>
              <w:spacing w:before="60"/>
              <w:jc w:val="both"/>
              <w:rPr>
                <w:rFonts w:ascii="Arial" w:hAnsi="Arial" w:cs="Arial"/>
                <w:b w:val="0"/>
                <w:bCs/>
                <w:sz w:val="22"/>
              </w:rPr>
            </w:pPr>
            <w:r>
              <w:rPr>
                <w:rFonts w:ascii="Arial" w:hAnsi="Arial" w:cs="Arial"/>
                <w:b w:val="0"/>
                <w:bCs/>
                <w:sz w:val="22"/>
              </w:rPr>
              <w:t>Processing fee (non-refundable) of Rs.1</w:t>
            </w:r>
            <w:proofErr w:type="gramStart"/>
            <w:r>
              <w:rPr>
                <w:rFonts w:ascii="Arial" w:hAnsi="Arial" w:cs="Arial"/>
                <w:b w:val="0"/>
                <w:bCs/>
                <w:sz w:val="22"/>
              </w:rPr>
              <w:t>,00,000</w:t>
            </w:r>
            <w:proofErr w:type="gramEnd"/>
            <w:r>
              <w:rPr>
                <w:rFonts w:ascii="Arial" w:hAnsi="Arial" w:cs="Arial"/>
                <w:b w:val="0"/>
                <w:bCs/>
                <w:sz w:val="22"/>
              </w:rPr>
              <w:t>/- + applicable service tax in case of GDR/ADR issue, whereas Rs.25,000/- p</w:t>
            </w:r>
            <w:r w:rsidRPr="00FA0538">
              <w:rPr>
                <w:rFonts w:ascii="Arial" w:hAnsi="Arial" w:cs="Arial"/>
                <w:b w:val="0"/>
                <w:bCs/>
                <w:sz w:val="22"/>
              </w:rPr>
              <w:t xml:space="preserve">lus applicable service tax  in case of FCCB issue, favoring ‘BSE Ltd’. </w:t>
            </w:r>
          </w:p>
        </w:tc>
        <w:tc>
          <w:tcPr>
            <w:tcW w:w="2116" w:type="dxa"/>
          </w:tcPr>
          <w:p w:rsidR="00AB190D" w:rsidRDefault="00AB190D" w:rsidP="00653523">
            <w:pPr>
              <w:spacing w:before="60"/>
              <w:jc w:val="both"/>
              <w:rPr>
                <w:rFonts w:ascii="Arial" w:hAnsi="Arial" w:cs="Arial"/>
                <w:bCs/>
                <w:sz w:val="22"/>
              </w:rPr>
            </w:pPr>
          </w:p>
        </w:tc>
      </w:tr>
    </w:tbl>
    <w:p w:rsidR="00AB190D" w:rsidRDefault="00AB190D" w:rsidP="00AB190D">
      <w:pPr>
        <w:ind w:right="18"/>
        <w:jc w:val="both"/>
        <w:rPr>
          <w:rFonts w:ascii="Arial" w:hAnsi="Arial" w:cs="Arial"/>
          <w:bCs/>
          <w:sz w:val="22"/>
        </w:rPr>
      </w:pPr>
    </w:p>
    <w:p w:rsidR="00AB190D" w:rsidRDefault="00AB190D" w:rsidP="00AB190D">
      <w:pPr>
        <w:ind w:right="14"/>
        <w:jc w:val="both"/>
        <w:rPr>
          <w:rFonts w:ascii="Arial" w:hAnsi="Arial" w:cs="Arial"/>
          <w:sz w:val="22"/>
        </w:rPr>
      </w:pPr>
    </w:p>
    <w:p w:rsidR="00AB190D" w:rsidRDefault="00AB190D" w:rsidP="00AB190D">
      <w:pPr>
        <w:spacing w:before="120"/>
        <w:ind w:right="14"/>
        <w:jc w:val="both"/>
        <w:rPr>
          <w:rFonts w:ascii="Arial" w:hAnsi="Arial" w:cs="Arial"/>
          <w:b/>
          <w:bCs/>
          <w:sz w:val="22"/>
          <w:u w:val="single"/>
        </w:rPr>
      </w:pPr>
      <w:r>
        <w:rPr>
          <w:rFonts w:ascii="Arial" w:hAnsi="Arial" w:cs="Arial"/>
          <w:b/>
          <w:bCs/>
          <w:sz w:val="22"/>
          <w:u w:val="single"/>
        </w:rPr>
        <w:t>Note:</w:t>
      </w:r>
    </w:p>
    <w:p w:rsidR="00AB190D" w:rsidRDefault="00AB190D" w:rsidP="00AB190D">
      <w:pPr>
        <w:ind w:right="14"/>
        <w:jc w:val="both"/>
        <w:rPr>
          <w:rFonts w:ascii="Arial" w:hAnsi="Arial" w:cs="Arial"/>
          <w:sz w:val="22"/>
          <w:u w:val="single"/>
        </w:rPr>
      </w:pPr>
    </w:p>
    <w:p w:rsidR="00AB190D" w:rsidRDefault="00AB190D" w:rsidP="00AB190D">
      <w:pPr>
        <w:numPr>
          <w:ilvl w:val="0"/>
          <w:numId w:val="2"/>
        </w:numPr>
        <w:spacing w:before="120"/>
        <w:jc w:val="both"/>
        <w:rPr>
          <w:rFonts w:ascii="Arial" w:hAnsi="Arial" w:cs="Arial"/>
          <w:sz w:val="22"/>
        </w:rPr>
      </w:pPr>
      <w:r>
        <w:rPr>
          <w:rFonts w:ascii="Arial" w:hAnsi="Arial" w:cs="Arial"/>
          <w:sz w:val="22"/>
        </w:rPr>
        <w:t>Kindly note that all pages of the documents/details provided should be serially numbered, stamped and certified by the authorized signatory of the company.</w:t>
      </w:r>
    </w:p>
    <w:p w:rsidR="00AB190D" w:rsidRDefault="00AB190D" w:rsidP="00AB190D">
      <w:pPr>
        <w:numPr>
          <w:ilvl w:val="0"/>
          <w:numId w:val="2"/>
        </w:numPr>
        <w:spacing w:before="120"/>
        <w:jc w:val="both"/>
        <w:rPr>
          <w:rFonts w:ascii="Arial" w:hAnsi="Arial" w:cs="Arial"/>
          <w:sz w:val="22"/>
        </w:rPr>
      </w:pPr>
      <w:r>
        <w:rPr>
          <w:rFonts w:ascii="Arial" w:hAnsi="Arial" w:cs="Arial"/>
          <w:sz w:val="22"/>
        </w:rPr>
        <w:t>The Exchange reserves the right to modify and ask for additional documents / clarifications depending on a case to case basis.  Approval for proposed issue and allotment of the securities by the company will be subject to compliance with the Statutory/ Regulatory requirements, norms of the Governing Board of the Exchange and other Exchange requirements.</w:t>
      </w:r>
    </w:p>
    <w:p w:rsidR="00AB190D" w:rsidRDefault="00AB190D" w:rsidP="00AB190D">
      <w:pPr>
        <w:pStyle w:val="BodyTextIndent"/>
        <w:ind w:left="0" w:right="18" w:firstLine="0"/>
        <w:rPr>
          <w:rFonts w:ascii="Arial" w:hAnsi="Arial" w:cs="Arial"/>
          <w:sz w:val="22"/>
        </w:rPr>
      </w:pPr>
    </w:p>
    <w:p w:rsidR="00AB190D" w:rsidRDefault="00AB190D" w:rsidP="00AB190D">
      <w:pPr>
        <w:pStyle w:val="BodyTextIndent"/>
        <w:ind w:left="0" w:right="18" w:firstLine="0"/>
        <w:rPr>
          <w:rFonts w:ascii="Arial" w:hAnsi="Arial" w:cs="Arial"/>
          <w:sz w:val="22"/>
        </w:rPr>
      </w:pPr>
      <w:r>
        <w:rPr>
          <w:rFonts w:ascii="Arial" w:hAnsi="Arial" w:cs="Arial"/>
          <w:sz w:val="22"/>
        </w:rPr>
        <w:br w:type="page"/>
      </w:r>
    </w:p>
    <w:p w:rsidR="00AB190D" w:rsidRDefault="00AB190D" w:rsidP="00AB190D">
      <w:pPr>
        <w:pStyle w:val="BodyTextIndent"/>
        <w:ind w:left="0" w:firstLine="0"/>
        <w:rPr>
          <w:rFonts w:ascii="Arial" w:hAnsi="Arial" w:cs="Arial"/>
          <w:b/>
          <w:bCs/>
          <w:sz w:val="22"/>
        </w:rPr>
      </w:pPr>
      <w:r>
        <w:rPr>
          <w:rFonts w:ascii="Arial" w:hAnsi="Arial" w:cs="Arial"/>
          <w:b/>
          <w:bCs/>
          <w:sz w:val="22"/>
        </w:rPr>
        <w:lastRenderedPageBreak/>
        <w:t>Format of the confirmation to be submitted on the letter head of the company:</w:t>
      </w:r>
    </w:p>
    <w:p w:rsidR="00AB190D" w:rsidRDefault="00AB190D" w:rsidP="00AB190D">
      <w:pPr>
        <w:pStyle w:val="BodyTextIndent"/>
        <w:ind w:left="0" w:right="18" w:firstLine="0"/>
        <w:rPr>
          <w:rFonts w:ascii="Arial" w:hAnsi="Arial" w:cs="Arial"/>
          <w:b/>
          <w:bCs/>
          <w:sz w:val="22"/>
        </w:rPr>
      </w:pPr>
    </w:p>
    <w:p w:rsidR="00AB190D" w:rsidRDefault="00AB190D" w:rsidP="00AB190D">
      <w:pPr>
        <w:pStyle w:val="BodyTextIndent"/>
        <w:ind w:left="0" w:right="18" w:firstLine="0"/>
        <w:rPr>
          <w:rFonts w:ascii="Arial" w:hAnsi="Arial" w:cs="Arial"/>
          <w:b/>
          <w:bCs/>
          <w:sz w:val="22"/>
        </w:rPr>
      </w:pPr>
    </w:p>
    <w:p w:rsidR="00AB190D" w:rsidRDefault="00AB190D" w:rsidP="00AB190D">
      <w:pPr>
        <w:pStyle w:val="BodyTextIndent"/>
        <w:ind w:left="0" w:right="18" w:firstLine="0"/>
        <w:rPr>
          <w:rFonts w:ascii="Arial" w:hAnsi="Arial" w:cs="Arial"/>
          <w:sz w:val="22"/>
        </w:rPr>
      </w:pPr>
      <w:r>
        <w:rPr>
          <w:rFonts w:ascii="Arial" w:hAnsi="Arial" w:cs="Arial"/>
          <w:sz w:val="22"/>
        </w:rPr>
        <w:t>To,</w:t>
      </w:r>
    </w:p>
    <w:p w:rsidR="00AB190D" w:rsidRDefault="00AB190D" w:rsidP="00AB190D">
      <w:pPr>
        <w:pStyle w:val="BodyTextIndent"/>
        <w:ind w:left="0" w:right="18" w:firstLine="0"/>
        <w:rPr>
          <w:rFonts w:ascii="Arial" w:hAnsi="Arial" w:cs="Arial"/>
          <w:sz w:val="22"/>
        </w:rPr>
      </w:pPr>
      <w:r>
        <w:rPr>
          <w:rFonts w:ascii="Arial" w:hAnsi="Arial" w:cs="Arial"/>
          <w:sz w:val="22"/>
        </w:rPr>
        <w:t>General Manager,</w:t>
      </w:r>
    </w:p>
    <w:p w:rsidR="00AB190D" w:rsidRDefault="00AB190D" w:rsidP="00AB190D">
      <w:pPr>
        <w:pStyle w:val="BodyTextIndent"/>
        <w:ind w:left="0" w:right="18" w:firstLine="0"/>
        <w:rPr>
          <w:rFonts w:ascii="Arial" w:hAnsi="Arial" w:cs="Arial"/>
          <w:sz w:val="22"/>
        </w:rPr>
      </w:pPr>
      <w:r>
        <w:rPr>
          <w:rFonts w:ascii="Arial" w:hAnsi="Arial" w:cs="Arial"/>
          <w:sz w:val="22"/>
        </w:rPr>
        <w:t>Department of Corporate Services,</w:t>
      </w:r>
    </w:p>
    <w:p w:rsidR="00AB190D" w:rsidRDefault="00AB190D" w:rsidP="00AB190D">
      <w:pPr>
        <w:pStyle w:val="BodyTextIndent"/>
        <w:ind w:left="0" w:right="18" w:firstLine="0"/>
        <w:rPr>
          <w:rFonts w:ascii="Arial" w:hAnsi="Arial" w:cs="Arial"/>
          <w:sz w:val="22"/>
        </w:rPr>
      </w:pPr>
      <w:r>
        <w:rPr>
          <w:rFonts w:ascii="Arial" w:hAnsi="Arial" w:cs="Arial"/>
          <w:sz w:val="22"/>
        </w:rPr>
        <w:t>Bombay Stock Exchange Limited,</w:t>
      </w:r>
    </w:p>
    <w:p w:rsidR="00AB190D" w:rsidRDefault="00AB190D" w:rsidP="00AB190D">
      <w:pPr>
        <w:pStyle w:val="BodyTextIndent"/>
        <w:ind w:left="0" w:right="18" w:firstLine="0"/>
        <w:rPr>
          <w:rFonts w:ascii="Arial" w:hAnsi="Arial" w:cs="Arial"/>
          <w:sz w:val="22"/>
        </w:rPr>
      </w:pPr>
      <w:smartTag w:uri="urn:schemas-microsoft-com:office:smarttags" w:element="place">
        <w:smartTag w:uri="urn:schemas-microsoft-com:office:smarttags" w:element="PlaceName">
          <w:r>
            <w:rPr>
              <w:rFonts w:ascii="Arial" w:hAnsi="Arial" w:cs="Arial"/>
              <w:sz w:val="22"/>
            </w:rPr>
            <w:t>P.J.</w:t>
          </w:r>
        </w:smartTag>
        <w:r>
          <w:rPr>
            <w:rFonts w:ascii="Arial" w:hAnsi="Arial" w:cs="Arial"/>
            <w:sz w:val="22"/>
          </w:rPr>
          <w:t xml:space="preserve"> </w:t>
        </w:r>
        <w:smartTag w:uri="urn:schemas-microsoft-com:office:smarttags" w:element="PlaceType">
          <w:r>
            <w:rPr>
              <w:rFonts w:ascii="Arial" w:hAnsi="Arial" w:cs="Arial"/>
              <w:sz w:val="22"/>
            </w:rPr>
            <w:t>Towers</w:t>
          </w:r>
        </w:smartTag>
      </w:smartTag>
      <w:r>
        <w:rPr>
          <w:rFonts w:ascii="Arial" w:hAnsi="Arial" w:cs="Arial"/>
          <w:sz w:val="22"/>
        </w:rPr>
        <w:t>,</w:t>
      </w:r>
    </w:p>
    <w:p w:rsidR="00AB190D" w:rsidRDefault="00AB190D" w:rsidP="00AB190D">
      <w:pPr>
        <w:pStyle w:val="BodyTextIndent"/>
        <w:ind w:left="0" w:right="18" w:firstLine="0"/>
        <w:rPr>
          <w:rFonts w:ascii="Arial" w:hAnsi="Arial" w:cs="Arial"/>
          <w:sz w:val="22"/>
        </w:rPr>
      </w:pPr>
      <w:proofErr w:type="spellStart"/>
      <w:r>
        <w:rPr>
          <w:rFonts w:ascii="Arial" w:hAnsi="Arial" w:cs="Arial"/>
          <w:sz w:val="22"/>
        </w:rPr>
        <w:t>Dalal</w:t>
      </w:r>
      <w:proofErr w:type="spellEnd"/>
      <w:r>
        <w:rPr>
          <w:rFonts w:ascii="Arial" w:hAnsi="Arial" w:cs="Arial"/>
          <w:sz w:val="22"/>
        </w:rPr>
        <w:t xml:space="preserve"> Street,</w:t>
      </w:r>
    </w:p>
    <w:p w:rsidR="00AB190D" w:rsidRDefault="00AB190D" w:rsidP="00AB190D">
      <w:pPr>
        <w:pStyle w:val="BodyTextIndent"/>
        <w:ind w:left="0" w:right="18" w:firstLine="0"/>
        <w:rPr>
          <w:rFonts w:ascii="Arial" w:hAnsi="Arial" w:cs="Arial"/>
          <w:sz w:val="22"/>
        </w:rPr>
      </w:pPr>
      <w:r>
        <w:rPr>
          <w:rFonts w:ascii="Arial" w:hAnsi="Arial" w:cs="Arial"/>
          <w:sz w:val="22"/>
        </w:rPr>
        <w:t>Mumbai – 400 001.</w:t>
      </w:r>
    </w:p>
    <w:p w:rsidR="00AB190D" w:rsidRDefault="00AB190D" w:rsidP="00AB190D">
      <w:pPr>
        <w:pStyle w:val="BodyTextIndent"/>
        <w:ind w:left="0" w:right="18" w:firstLine="0"/>
        <w:rPr>
          <w:rFonts w:ascii="Arial" w:hAnsi="Arial" w:cs="Arial"/>
          <w:sz w:val="22"/>
        </w:rPr>
      </w:pPr>
    </w:p>
    <w:p w:rsidR="00AB190D" w:rsidRDefault="00AB190D" w:rsidP="00AB190D">
      <w:pPr>
        <w:pStyle w:val="BodyTextIndent"/>
        <w:ind w:left="0" w:right="18" w:firstLine="0"/>
        <w:rPr>
          <w:rFonts w:ascii="Arial" w:hAnsi="Arial" w:cs="Arial"/>
          <w:sz w:val="22"/>
        </w:rPr>
      </w:pPr>
      <w:r>
        <w:rPr>
          <w:rFonts w:ascii="Arial" w:hAnsi="Arial" w:cs="Arial"/>
          <w:sz w:val="22"/>
        </w:rPr>
        <w:t>Dear Sir,</w:t>
      </w:r>
    </w:p>
    <w:p w:rsidR="00AB190D" w:rsidRDefault="00AB190D" w:rsidP="00AB190D">
      <w:pPr>
        <w:pStyle w:val="BodyTextIndent"/>
        <w:ind w:left="0" w:right="18" w:firstLine="0"/>
        <w:rPr>
          <w:rFonts w:ascii="Arial" w:hAnsi="Arial" w:cs="Arial"/>
          <w:sz w:val="22"/>
        </w:rPr>
      </w:pPr>
    </w:p>
    <w:p w:rsidR="00AB190D" w:rsidRDefault="00AB190D" w:rsidP="00AB190D">
      <w:pPr>
        <w:pStyle w:val="BodyTextIndent"/>
        <w:tabs>
          <w:tab w:val="clear" w:pos="360"/>
        </w:tabs>
        <w:ind w:left="720" w:right="18" w:hanging="720"/>
        <w:rPr>
          <w:rFonts w:ascii="Arial" w:hAnsi="Arial" w:cs="Arial"/>
          <w:b/>
          <w:bCs/>
          <w:sz w:val="22"/>
        </w:rPr>
      </w:pPr>
      <w:r>
        <w:rPr>
          <w:rFonts w:ascii="Arial" w:hAnsi="Arial" w:cs="Arial"/>
          <w:b/>
          <w:bCs/>
          <w:sz w:val="22"/>
        </w:rPr>
        <w:t xml:space="preserve">Sub: </w:t>
      </w:r>
      <w:r>
        <w:rPr>
          <w:rFonts w:ascii="Arial" w:hAnsi="Arial" w:cs="Arial"/>
          <w:b/>
          <w:bCs/>
          <w:sz w:val="22"/>
        </w:rPr>
        <w:tab/>
        <w:t>In-principle approval for the proposed issue of GDRs/ ADRs/ FCCBs aggregating to ______ USD.</w:t>
      </w:r>
    </w:p>
    <w:p w:rsidR="00AB190D" w:rsidRDefault="00AB190D" w:rsidP="00AB190D">
      <w:pPr>
        <w:pStyle w:val="BodyTextIndent"/>
        <w:ind w:left="0" w:right="18" w:firstLine="0"/>
        <w:rPr>
          <w:rFonts w:ascii="Arial" w:hAnsi="Arial" w:cs="Arial"/>
          <w:sz w:val="22"/>
        </w:rPr>
      </w:pPr>
    </w:p>
    <w:p w:rsidR="00AB190D" w:rsidRDefault="00AB190D" w:rsidP="00AB190D">
      <w:pPr>
        <w:ind w:right="18"/>
        <w:jc w:val="both"/>
        <w:rPr>
          <w:rFonts w:ascii="Arial" w:hAnsi="Arial" w:cs="Arial"/>
          <w:sz w:val="22"/>
          <w:szCs w:val="21"/>
        </w:rPr>
      </w:pPr>
      <w:r>
        <w:rPr>
          <w:rFonts w:ascii="Arial" w:hAnsi="Arial" w:cs="Arial"/>
          <w:sz w:val="22"/>
          <w:szCs w:val="21"/>
        </w:rPr>
        <w:t>In connection with the aforesaid application made by the company, we hereby confirm and certify that:</w:t>
      </w:r>
    </w:p>
    <w:p w:rsidR="00AB190D" w:rsidRDefault="00AB190D" w:rsidP="00AB190D">
      <w:pPr>
        <w:pStyle w:val="BodyTextIndent"/>
        <w:ind w:left="0" w:right="18" w:firstLine="0"/>
        <w:rPr>
          <w:rFonts w:ascii="Arial" w:hAnsi="Arial" w:cs="Arial"/>
          <w:sz w:val="22"/>
        </w:rPr>
      </w:pPr>
    </w:p>
    <w:p w:rsidR="00AB190D" w:rsidRDefault="00AB190D" w:rsidP="00AB190D">
      <w:pPr>
        <w:numPr>
          <w:ilvl w:val="0"/>
          <w:numId w:val="1"/>
        </w:numPr>
        <w:spacing w:before="120"/>
        <w:ind w:right="18"/>
        <w:jc w:val="both"/>
        <w:rPr>
          <w:rFonts w:ascii="Arial" w:hAnsi="Arial" w:cs="Arial"/>
          <w:sz w:val="22"/>
        </w:rPr>
      </w:pPr>
      <w:r>
        <w:rPr>
          <w:rFonts w:ascii="Arial" w:hAnsi="Arial" w:cs="Arial"/>
          <w:sz w:val="22"/>
        </w:rPr>
        <w:t xml:space="preserve">The underlying equity shares to be represented by such GDRs/ADRs or equity shares to be allotted upon conversion of FCCBs, shall rank </w:t>
      </w:r>
      <w:proofErr w:type="spellStart"/>
      <w:r>
        <w:rPr>
          <w:rFonts w:ascii="Arial" w:hAnsi="Arial" w:cs="Arial"/>
          <w:sz w:val="22"/>
        </w:rPr>
        <w:t>pari</w:t>
      </w:r>
      <w:proofErr w:type="spellEnd"/>
      <w:r>
        <w:rPr>
          <w:rFonts w:ascii="Arial" w:hAnsi="Arial" w:cs="Arial"/>
          <w:sz w:val="22"/>
        </w:rPr>
        <w:t xml:space="preserve"> </w:t>
      </w:r>
      <w:proofErr w:type="spellStart"/>
      <w:r>
        <w:rPr>
          <w:rFonts w:ascii="Arial" w:hAnsi="Arial" w:cs="Arial"/>
          <w:sz w:val="22"/>
        </w:rPr>
        <w:t>passu</w:t>
      </w:r>
      <w:proofErr w:type="spellEnd"/>
      <w:r>
        <w:rPr>
          <w:rFonts w:ascii="Arial" w:hAnsi="Arial" w:cs="Arial"/>
          <w:sz w:val="22"/>
        </w:rPr>
        <w:t xml:space="preserve"> in all respect including dividend entitlement with the existing equity shares of the Company. </w:t>
      </w:r>
    </w:p>
    <w:p w:rsidR="00AB190D" w:rsidRDefault="00AB190D" w:rsidP="00AB190D">
      <w:pPr>
        <w:ind w:right="14"/>
        <w:jc w:val="both"/>
        <w:rPr>
          <w:rFonts w:ascii="Arial" w:hAnsi="Arial" w:cs="Arial"/>
          <w:sz w:val="22"/>
        </w:rPr>
      </w:pPr>
    </w:p>
    <w:p w:rsidR="00AB190D" w:rsidRDefault="00AB190D" w:rsidP="00AB190D">
      <w:pPr>
        <w:numPr>
          <w:ilvl w:val="0"/>
          <w:numId w:val="1"/>
        </w:numPr>
        <w:ind w:right="14"/>
        <w:jc w:val="both"/>
        <w:rPr>
          <w:rFonts w:ascii="Arial" w:hAnsi="Arial" w:cs="Arial"/>
          <w:sz w:val="22"/>
        </w:rPr>
      </w:pPr>
      <w:r>
        <w:rPr>
          <w:rFonts w:ascii="Arial" w:hAnsi="Arial" w:cs="Arial"/>
          <w:sz w:val="22"/>
        </w:rPr>
        <w:t xml:space="preserve">The international offering made by the Company does not in any way violate or override or circumscribe the provisions of the SEBI Act, 1992, the Securities Contracts (Regulation) Act, 1956, the </w:t>
      </w:r>
      <w:r w:rsidRPr="00D47838">
        <w:rPr>
          <w:rFonts w:ascii="Arial" w:hAnsi="Arial" w:cs="Arial"/>
          <w:sz w:val="22"/>
        </w:rPr>
        <w:t>Foreign Exchange Management Act, 1999, the provisions of Foreign Exchange Management (Transfer or issue of securities by a person resident outside India) Regulations, 2000, the</w:t>
      </w:r>
      <w:r>
        <w:rPr>
          <w:rFonts w:ascii="Arial" w:hAnsi="Arial" w:cs="Arial"/>
          <w:sz w:val="22"/>
        </w:rPr>
        <w:t xml:space="preserve"> provisions of Issue of Foreign Currency Convertible Bonds and Ordinary Shares (Through Depository Receipt Mechanism) Scheme, 1993, the Depositories Act, 1996</w:t>
      </w:r>
      <w:r w:rsidRPr="00FA0538">
        <w:rPr>
          <w:rFonts w:ascii="Arial" w:hAnsi="Arial" w:cs="Arial"/>
          <w:sz w:val="22"/>
        </w:rPr>
        <w:t>, the Companies Act, 1956 / 2013, the</w:t>
      </w:r>
      <w:r>
        <w:rPr>
          <w:rFonts w:ascii="Arial" w:hAnsi="Arial" w:cs="Arial"/>
          <w:sz w:val="22"/>
        </w:rPr>
        <w:t xml:space="preserve"> rules, regulations and guidelines made under these Acts, or any other applicable Act and guidelines issued / amended by the Government of India, the Reserve Bank of India and/or any other appropriate authority in this regard.</w:t>
      </w:r>
    </w:p>
    <w:p w:rsidR="00AB190D" w:rsidRDefault="00AB190D" w:rsidP="00AB190D">
      <w:pPr>
        <w:ind w:right="14"/>
        <w:jc w:val="both"/>
        <w:rPr>
          <w:rFonts w:ascii="Arial" w:hAnsi="Arial" w:cs="Arial"/>
          <w:sz w:val="22"/>
        </w:rPr>
      </w:pPr>
    </w:p>
    <w:p w:rsidR="00AB190D" w:rsidRDefault="00AB190D" w:rsidP="00AB190D">
      <w:pPr>
        <w:numPr>
          <w:ilvl w:val="0"/>
          <w:numId w:val="1"/>
        </w:numPr>
        <w:ind w:right="14"/>
        <w:jc w:val="both"/>
        <w:rPr>
          <w:rFonts w:ascii="Arial" w:hAnsi="Arial" w:cs="Arial"/>
          <w:sz w:val="22"/>
        </w:rPr>
      </w:pPr>
      <w:r>
        <w:rPr>
          <w:rFonts w:ascii="Arial" w:hAnsi="Arial" w:cs="Arial"/>
          <w:sz w:val="22"/>
        </w:rPr>
        <w:t>The company shall provide complete details of the holders of GDR/ADR/FCCBs as and when called for by the Regulatory Authorities / Stock Exchange.</w:t>
      </w:r>
    </w:p>
    <w:p w:rsidR="00AB190D" w:rsidRDefault="00AB190D" w:rsidP="00AB190D">
      <w:pPr>
        <w:pStyle w:val="BodyText"/>
        <w:ind w:right="18"/>
        <w:rPr>
          <w:rFonts w:ascii="Arial" w:hAnsi="Arial" w:cs="Arial"/>
          <w:sz w:val="22"/>
        </w:rPr>
      </w:pPr>
    </w:p>
    <w:p w:rsidR="00AB190D" w:rsidRDefault="00AB190D" w:rsidP="00AB190D">
      <w:pPr>
        <w:ind w:right="18"/>
        <w:jc w:val="both"/>
        <w:rPr>
          <w:rFonts w:ascii="Arial" w:hAnsi="Arial" w:cs="Arial"/>
          <w:sz w:val="22"/>
        </w:rPr>
      </w:pPr>
    </w:p>
    <w:p w:rsidR="00AB190D" w:rsidRDefault="00AB190D" w:rsidP="00AB190D">
      <w:pPr>
        <w:ind w:right="18"/>
        <w:jc w:val="both"/>
        <w:rPr>
          <w:rFonts w:ascii="Arial" w:hAnsi="Arial" w:cs="Arial"/>
          <w:sz w:val="22"/>
        </w:rPr>
      </w:pPr>
    </w:p>
    <w:p w:rsidR="00AB190D" w:rsidRDefault="00AB190D" w:rsidP="00AB190D">
      <w:pPr>
        <w:ind w:right="18"/>
        <w:jc w:val="both"/>
        <w:rPr>
          <w:rFonts w:ascii="Arial" w:hAnsi="Arial" w:cs="Arial"/>
          <w:sz w:val="22"/>
        </w:rPr>
      </w:pPr>
    </w:p>
    <w:p w:rsidR="00AB190D" w:rsidRDefault="00AB190D" w:rsidP="00AB190D">
      <w:pPr>
        <w:ind w:left="2880" w:right="18"/>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__________________</w:t>
      </w:r>
    </w:p>
    <w:p w:rsidR="00AB190D" w:rsidRDefault="00AB190D" w:rsidP="00AB190D">
      <w:pPr>
        <w:ind w:right="18"/>
        <w:jc w:val="both"/>
        <w:rPr>
          <w:rFonts w:ascii="Arial" w:hAnsi="Arial" w:cs="Arial"/>
          <w:sz w:val="22"/>
        </w:rPr>
      </w:pPr>
      <w:r>
        <w:rPr>
          <w:rFonts w:ascii="Arial" w:hAnsi="Arial" w:cs="Arial"/>
          <w:sz w:val="22"/>
        </w:rPr>
        <w:t>Date: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Managing Director/ Company Secretary</w:t>
      </w:r>
    </w:p>
    <w:p w:rsidR="00AB190D" w:rsidRDefault="00AB190D" w:rsidP="00AB190D">
      <w:pPr>
        <w:ind w:right="18"/>
        <w:jc w:val="both"/>
        <w:rPr>
          <w:rFonts w:ascii="Arial" w:hAnsi="Arial" w:cs="Arial"/>
          <w:sz w:val="22"/>
        </w:rPr>
      </w:pPr>
    </w:p>
    <w:p w:rsidR="00AD0927" w:rsidRDefault="00AB190D">
      <w:bookmarkStart w:id="0" w:name="_GoBack"/>
      <w:bookmarkEnd w:id="0"/>
    </w:p>
    <w:sectPr w:rsidR="00AD0927">
      <w:pgSz w:w="12240" w:h="17280" w:code="291"/>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6012A"/>
    <w:multiLevelType w:val="hybridMultilevel"/>
    <w:tmpl w:val="C53062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1F4174"/>
    <w:multiLevelType w:val="hybridMultilevel"/>
    <w:tmpl w:val="8FECEFC0"/>
    <w:lvl w:ilvl="0" w:tplc="04090017">
      <w:start w:val="1"/>
      <w:numFmt w:val="lowerLetter"/>
      <w:lvlText w:val="%1)"/>
      <w:lvlJc w:val="left"/>
      <w:pPr>
        <w:tabs>
          <w:tab w:val="num" w:pos="360"/>
        </w:tabs>
        <w:ind w:left="360" w:hanging="360"/>
      </w:pPr>
    </w:lvl>
    <w:lvl w:ilvl="1" w:tplc="343E98BC">
      <w:start w:val="1"/>
      <w:numFmt w:val="lowerLetter"/>
      <w:lvlText w:val="%2)"/>
      <w:lvlJc w:val="left"/>
      <w:pPr>
        <w:tabs>
          <w:tab w:val="num" w:pos="806"/>
        </w:tabs>
        <w:ind w:left="806" w:hanging="360"/>
      </w:pPr>
      <w:rPr>
        <w:rFonts w:hint="default"/>
      </w:rPr>
    </w:lvl>
    <w:lvl w:ilvl="2" w:tplc="0409001B" w:tentative="1">
      <w:start w:val="1"/>
      <w:numFmt w:val="lowerRoman"/>
      <w:lvlText w:val="%3."/>
      <w:lvlJc w:val="right"/>
      <w:pPr>
        <w:tabs>
          <w:tab w:val="num" w:pos="1526"/>
        </w:tabs>
        <w:ind w:left="1526" w:hanging="180"/>
      </w:pPr>
    </w:lvl>
    <w:lvl w:ilvl="3" w:tplc="0409000F" w:tentative="1">
      <w:start w:val="1"/>
      <w:numFmt w:val="decimal"/>
      <w:lvlText w:val="%4."/>
      <w:lvlJc w:val="left"/>
      <w:pPr>
        <w:tabs>
          <w:tab w:val="num" w:pos="2246"/>
        </w:tabs>
        <w:ind w:left="2246" w:hanging="360"/>
      </w:pPr>
    </w:lvl>
    <w:lvl w:ilvl="4" w:tplc="04090019" w:tentative="1">
      <w:start w:val="1"/>
      <w:numFmt w:val="lowerLetter"/>
      <w:lvlText w:val="%5."/>
      <w:lvlJc w:val="left"/>
      <w:pPr>
        <w:tabs>
          <w:tab w:val="num" w:pos="2966"/>
        </w:tabs>
        <w:ind w:left="2966" w:hanging="360"/>
      </w:pPr>
    </w:lvl>
    <w:lvl w:ilvl="5" w:tplc="0409001B" w:tentative="1">
      <w:start w:val="1"/>
      <w:numFmt w:val="lowerRoman"/>
      <w:lvlText w:val="%6."/>
      <w:lvlJc w:val="right"/>
      <w:pPr>
        <w:tabs>
          <w:tab w:val="num" w:pos="3686"/>
        </w:tabs>
        <w:ind w:left="3686" w:hanging="180"/>
      </w:pPr>
    </w:lvl>
    <w:lvl w:ilvl="6" w:tplc="0409000F" w:tentative="1">
      <w:start w:val="1"/>
      <w:numFmt w:val="decimal"/>
      <w:lvlText w:val="%7."/>
      <w:lvlJc w:val="left"/>
      <w:pPr>
        <w:tabs>
          <w:tab w:val="num" w:pos="4406"/>
        </w:tabs>
        <w:ind w:left="4406" w:hanging="360"/>
      </w:pPr>
    </w:lvl>
    <w:lvl w:ilvl="7" w:tplc="04090019" w:tentative="1">
      <w:start w:val="1"/>
      <w:numFmt w:val="lowerLetter"/>
      <w:lvlText w:val="%8."/>
      <w:lvlJc w:val="left"/>
      <w:pPr>
        <w:tabs>
          <w:tab w:val="num" w:pos="5126"/>
        </w:tabs>
        <w:ind w:left="5126" w:hanging="360"/>
      </w:pPr>
    </w:lvl>
    <w:lvl w:ilvl="8" w:tplc="0409001B" w:tentative="1">
      <w:start w:val="1"/>
      <w:numFmt w:val="lowerRoman"/>
      <w:lvlText w:val="%9."/>
      <w:lvlJc w:val="right"/>
      <w:pPr>
        <w:tabs>
          <w:tab w:val="num" w:pos="5846"/>
        </w:tabs>
        <w:ind w:left="58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94"/>
    <w:rsid w:val="00217E94"/>
    <w:rsid w:val="008B0947"/>
    <w:rsid w:val="00945675"/>
    <w:rsid w:val="00AB19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EBBDAF-1BB4-4B4E-B8C6-32E2D057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0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AB190D"/>
    <w:pPr>
      <w:keepNext/>
      <w:jc w:val="right"/>
      <w:outlineLvl w:val="2"/>
    </w:pPr>
    <w:rPr>
      <w:rFonts w:ascii="Century Gothic" w:hAnsi="Century Gothic"/>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190D"/>
    <w:rPr>
      <w:rFonts w:ascii="Century Gothic" w:eastAsia="Times New Roman" w:hAnsi="Century Gothic" w:cs="Times New Roman"/>
      <w:b/>
      <w:sz w:val="24"/>
      <w:szCs w:val="20"/>
      <w:lang w:val="en-US"/>
    </w:rPr>
  </w:style>
  <w:style w:type="paragraph" w:styleId="BodyText">
    <w:name w:val="Body Text"/>
    <w:aliases w:val="bt,Body,OC Body Text,heading3,TABLE TEXT,body text,Body Text Char1,Body Text Char Char,bt1,TABLE TEXT1,body text1,Body Text Char11,Body Text Char Char1"/>
    <w:basedOn w:val="Normal"/>
    <w:link w:val="BodyTextChar"/>
    <w:rsid w:val="00AB190D"/>
    <w:pPr>
      <w:ind w:right="-72"/>
      <w:jc w:val="both"/>
    </w:pPr>
    <w:rPr>
      <w:szCs w:val="20"/>
    </w:rPr>
  </w:style>
  <w:style w:type="character" w:customStyle="1" w:styleId="BodyTextChar">
    <w:name w:val="Body Text Char"/>
    <w:basedOn w:val="DefaultParagraphFont"/>
    <w:link w:val="BodyText"/>
    <w:rsid w:val="00AB190D"/>
    <w:rPr>
      <w:rFonts w:ascii="Times New Roman" w:eastAsia="Times New Roman" w:hAnsi="Times New Roman" w:cs="Times New Roman"/>
      <w:sz w:val="24"/>
      <w:szCs w:val="20"/>
      <w:lang w:val="en-US"/>
    </w:rPr>
  </w:style>
  <w:style w:type="paragraph" w:styleId="BodyText2">
    <w:name w:val="Body Text 2"/>
    <w:basedOn w:val="Normal"/>
    <w:link w:val="BodyText2Char"/>
    <w:rsid w:val="00AB190D"/>
    <w:pPr>
      <w:ind w:right="18"/>
      <w:jc w:val="both"/>
    </w:pPr>
    <w:rPr>
      <w:rFonts w:ascii="Book Antiqua" w:hAnsi="Book Antiqua"/>
      <w:sz w:val="22"/>
      <w:szCs w:val="20"/>
    </w:rPr>
  </w:style>
  <w:style w:type="character" w:customStyle="1" w:styleId="BodyText2Char">
    <w:name w:val="Body Text 2 Char"/>
    <w:basedOn w:val="DefaultParagraphFont"/>
    <w:link w:val="BodyText2"/>
    <w:rsid w:val="00AB190D"/>
    <w:rPr>
      <w:rFonts w:ascii="Book Antiqua" w:eastAsia="Times New Roman" w:hAnsi="Book Antiqua" w:cs="Times New Roman"/>
      <w:szCs w:val="20"/>
      <w:lang w:val="en-US"/>
    </w:rPr>
  </w:style>
  <w:style w:type="paragraph" w:styleId="BodyTextIndent">
    <w:name w:val="Body Text Indent"/>
    <w:basedOn w:val="Normal"/>
    <w:link w:val="BodyTextIndentChar"/>
    <w:rsid w:val="00AB190D"/>
    <w:pPr>
      <w:tabs>
        <w:tab w:val="left" w:pos="360"/>
      </w:tabs>
      <w:autoSpaceDE w:val="0"/>
      <w:autoSpaceDN w:val="0"/>
      <w:adjustRightInd w:val="0"/>
      <w:ind w:left="360" w:hanging="360"/>
      <w:jc w:val="both"/>
    </w:pPr>
    <w:rPr>
      <w:rFonts w:ascii="Book Antiqua" w:hAnsi="Book Antiqua"/>
      <w:sz w:val="21"/>
      <w:szCs w:val="21"/>
    </w:rPr>
  </w:style>
  <w:style w:type="character" w:customStyle="1" w:styleId="BodyTextIndentChar">
    <w:name w:val="Body Text Indent Char"/>
    <w:basedOn w:val="DefaultParagraphFont"/>
    <w:link w:val="BodyTextIndent"/>
    <w:rsid w:val="00AB190D"/>
    <w:rPr>
      <w:rFonts w:ascii="Book Antiqua" w:eastAsia="Times New Roman" w:hAnsi="Book Antiqua"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chandrani</dc:creator>
  <cp:keywords/>
  <dc:description/>
  <cp:lastModifiedBy>chandrani</cp:lastModifiedBy>
  <cp:revision>2</cp:revision>
  <dcterms:created xsi:type="dcterms:W3CDTF">2016-05-10T21:40:00Z</dcterms:created>
  <dcterms:modified xsi:type="dcterms:W3CDTF">2016-05-10T21:42:00Z</dcterms:modified>
</cp:coreProperties>
</file>